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1A644" w14:textId="6FE74363" w:rsidR="008B539B" w:rsidRPr="00877BB1" w:rsidRDefault="000D54F0" w:rsidP="00877BB1">
      <w:pPr>
        <w:pStyle w:val="Heading1"/>
      </w:pPr>
      <w:r>
        <w:t>ASSESSMENT ENTITY CONSIDERATIONS POLICY</w:t>
      </w:r>
    </w:p>
    <w:p w14:paraId="491E170A" w14:textId="79A50E54" w:rsidR="00BD576F" w:rsidRPr="0095206F" w:rsidRDefault="00BD576F" w:rsidP="000D54F0">
      <w:pPr>
        <w:pStyle w:val="Heading2"/>
      </w:pPr>
      <w:r w:rsidRPr="0095206F">
        <w:t xml:space="preserve">Policy ID </w:t>
      </w:r>
      <w:r w:rsidR="000D54F0">
        <w:t>2.</w:t>
      </w:r>
      <w:r w:rsidR="00490CEB">
        <w:t>0</w:t>
      </w:r>
      <w:r w:rsidR="000D54F0">
        <w:t>3</w:t>
      </w:r>
    </w:p>
    <w:p w14:paraId="5CE36AC6" w14:textId="1832447F" w:rsidR="00705897" w:rsidRPr="0095206F" w:rsidRDefault="00705897" w:rsidP="000D54F0">
      <w:pPr>
        <w:pStyle w:val="Heading2"/>
      </w:pPr>
      <w:r w:rsidRPr="0095206F">
        <w:t xml:space="preserve">Version </w:t>
      </w:r>
      <w:r w:rsidR="006D2F30">
        <w:t>1 (October 2020)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210"/>
        <w:gridCol w:w="1896"/>
        <w:gridCol w:w="4536"/>
      </w:tblGrid>
      <w:tr w:rsidR="00BD576F" w:rsidRPr="0095206F" w14:paraId="44FB3388" w14:textId="77777777" w:rsidTr="000D54F0">
        <w:tc>
          <w:tcPr>
            <w:tcW w:w="4106" w:type="dxa"/>
            <w:gridSpan w:val="2"/>
          </w:tcPr>
          <w:p w14:paraId="7BF9144E" w14:textId="77777777" w:rsidR="00BD576F" w:rsidRPr="0095206F" w:rsidRDefault="00BD576F" w:rsidP="00877BB1">
            <w:pPr>
              <w:pStyle w:val="Heading3"/>
              <w:outlineLvl w:val="2"/>
              <w:rPr>
                <w:szCs w:val="22"/>
              </w:rPr>
            </w:pPr>
            <w:r w:rsidRPr="0095206F">
              <w:rPr>
                <w:szCs w:val="22"/>
              </w:rPr>
              <w:t>Policy category</w:t>
            </w:r>
          </w:p>
        </w:tc>
        <w:tc>
          <w:tcPr>
            <w:tcW w:w="4536" w:type="dxa"/>
          </w:tcPr>
          <w:p w14:paraId="1D8CFE0E" w14:textId="69225FF0" w:rsidR="00BD576F" w:rsidRPr="0095206F" w:rsidRDefault="000D54F0" w:rsidP="00877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Registrations - </w:t>
            </w:r>
            <w:r w:rsidR="006D2F30">
              <w:rPr>
                <w:sz w:val="22"/>
                <w:szCs w:val="22"/>
              </w:rPr>
              <w:t>External</w:t>
            </w:r>
          </w:p>
        </w:tc>
      </w:tr>
      <w:tr w:rsidR="00BD576F" w:rsidRPr="0095206F" w14:paraId="0D6EF1B5" w14:textId="77777777" w:rsidTr="000D54F0">
        <w:tc>
          <w:tcPr>
            <w:tcW w:w="4106" w:type="dxa"/>
            <w:gridSpan w:val="2"/>
          </w:tcPr>
          <w:p w14:paraId="73F4B714" w14:textId="77777777" w:rsidR="00BD576F" w:rsidRPr="0095206F" w:rsidRDefault="00BD576F" w:rsidP="00877BB1">
            <w:pPr>
              <w:pStyle w:val="Heading3"/>
              <w:outlineLvl w:val="2"/>
              <w:rPr>
                <w:szCs w:val="22"/>
              </w:rPr>
            </w:pPr>
            <w:r w:rsidRPr="0095206F">
              <w:rPr>
                <w:szCs w:val="22"/>
              </w:rPr>
              <w:t>Author</w:t>
            </w:r>
          </w:p>
        </w:tc>
        <w:tc>
          <w:tcPr>
            <w:tcW w:w="4536" w:type="dxa"/>
          </w:tcPr>
          <w:p w14:paraId="0E206FD5" w14:textId="422E24C2" w:rsidR="00BD576F" w:rsidRPr="0095206F" w:rsidRDefault="000D54F0" w:rsidP="00877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Kylie Mercer</w:t>
            </w:r>
          </w:p>
        </w:tc>
      </w:tr>
      <w:tr w:rsidR="00BD576F" w:rsidRPr="0095206F" w14:paraId="5ED8109F" w14:textId="77777777" w:rsidTr="000D54F0">
        <w:tc>
          <w:tcPr>
            <w:tcW w:w="2210" w:type="dxa"/>
          </w:tcPr>
          <w:p w14:paraId="743B707C" w14:textId="77777777" w:rsidR="00BD576F" w:rsidRPr="0095206F" w:rsidRDefault="00BD576F" w:rsidP="00877BB1">
            <w:pPr>
              <w:pStyle w:val="Heading3"/>
              <w:outlineLvl w:val="2"/>
              <w:rPr>
                <w:szCs w:val="22"/>
              </w:rPr>
            </w:pPr>
            <w:r w:rsidRPr="0095206F">
              <w:rPr>
                <w:szCs w:val="22"/>
              </w:rPr>
              <w:t>Version control</w:t>
            </w:r>
          </w:p>
        </w:tc>
        <w:tc>
          <w:tcPr>
            <w:tcW w:w="1896" w:type="dxa"/>
          </w:tcPr>
          <w:p w14:paraId="27574D0B" w14:textId="77777777" w:rsidR="00BD576F" w:rsidRPr="0095206F" w:rsidRDefault="00BD576F" w:rsidP="00877BB1">
            <w:pPr>
              <w:pStyle w:val="Heading3"/>
              <w:outlineLvl w:val="2"/>
              <w:rPr>
                <w:szCs w:val="22"/>
              </w:rPr>
            </w:pPr>
            <w:r w:rsidRPr="0095206F">
              <w:rPr>
                <w:szCs w:val="22"/>
              </w:rPr>
              <w:t xml:space="preserve">Date </w:t>
            </w:r>
          </w:p>
        </w:tc>
        <w:tc>
          <w:tcPr>
            <w:tcW w:w="4536" w:type="dxa"/>
          </w:tcPr>
          <w:p w14:paraId="5B336C8C" w14:textId="77777777" w:rsidR="00BD576F" w:rsidRPr="0095206F" w:rsidRDefault="00BD576F" w:rsidP="00877BB1">
            <w:pPr>
              <w:pStyle w:val="Heading3"/>
              <w:outlineLvl w:val="2"/>
              <w:rPr>
                <w:szCs w:val="22"/>
              </w:rPr>
            </w:pPr>
            <w:r w:rsidRPr="0095206F">
              <w:rPr>
                <w:szCs w:val="22"/>
              </w:rPr>
              <w:t xml:space="preserve">Comments </w:t>
            </w:r>
          </w:p>
        </w:tc>
      </w:tr>
      <w:tr w:rsidR="00BD576F" w:rsidRPr="0095206F" w14:paraId="2EB11E78" w14:textId="77777777" w:rsidTr="000D54F0">
        <w:tc>
          <w:tcPr>
            <w:tcW w:w="2210" w:type="dxa"/>
          </w:tcPr>
          <w:p w14:paraId="220294D5" w14:textId="77777777" w:rsidR="00BD576F" w:rsidRPr="0095206F" w:rsidRDefault="00BD576F" w:rsidP="00877BB1">
            <w:pPr>
              <w:rPr>
                <w:sz w:val="22"/>
                <w:szCs w:val="22"/>
              </w:rPr>
            </w:pPr>
            <w:r w:rsidRPr="0095206F">
              <w:rPr>
                <w:sz w:val="22"/>
                <w:szCs w:val="22"/>
              </w:rPr>
              <w:t>First Draft</w:t>
            </w:r>
          </w:p>
        </w:tc>
        <w:tc>
          <w:tcPr>
            <w:tcW w:w="1896" w:type="dxa"/>
          </w:tcPr>
          <w:p w14:paraId="58146686" w14:textId="4805E3DB" w:rsidR="00BD576F" w:rsidRPr="0095206F" w:rsidRDefault="006D2F30" w:rsidP="00877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2020</w:t>
            </w:r>
          </w:p>
        </w:tc>
        <w:tc>
          <w:tcPr>
            <w:tcW w:w="4536" w:type="dxa"/>
          </w:tcPr>
          <w:p w14:paraId="21AE16E5" w14:textId="77777777" w:rsidR="00BD576F" w:rsidRPr="0095206F" w:rsidRDefault="00BD576F" w:rsidP="00877BB1">
            <w:pPr>
              <w:rPr>
                <w:sz w:val="22"/>
                <w:szCs w:val="22"/>
              </w:rPr>
            </w:pPr>
          </w:p>
        </w:tc>
      </w:tr>
      <w:tr w:rsidR="00BD576F" w:rsidRPr="0095206F" w14:paraId="44E26733" w14:textId="77777777" w:rsidTr="000D54F0">
        <w:tc>
          <w:tcPr>
            <w:tcW w:w="2210" w:type="dxa"/>
          </w:tcPr>
          <w:p w14:paraId="5BEA9BD0" w14:textId="77777777" w:rsidR="00BD576F" w:rsidRPr="0095206F" w:rsidRDefault="00BD576F" w:rsidP="00877BB1">
            <w:pPr>
              <w:rPr>
                <w:sz w:val="22"/>
                <w:szCs w:val="22"/>
              </w:rPr>
            </w:pPr>
            <w:r w:rsidRPr="0095206F">
              <w:rPr>
                <w:sz w:val="22"/>
                <w:szCs w:val="22"/>
              </w:rPr>
              <w:t>Second Draft</w:t>
            </w:r>
          </w:p>
        </w:tc>
        <w:tc>
          <w:tcPr>
            <w:tcW w:w="1896" w:type="dxa"/>
          </w:tcPr>
          <w:p w14:paraId="52685992" w14:textId="77777777" w:rsidR="00BD576F" w:rsidRPr="0095206F" w:rsidRDefault="00BD576F" w:rsidP="00877BB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08411C2C" w14:textId="77777777" w:rsidR="00BD576F" w:rsidRPr="0095206F" w:rsidRDefault="00BD576F" w:rsidP="00877BB1">
            <w:pPr>
              <w:rPr>
                <w:sz w:val="22"/>
                <w:szCs w:val="22"/>
              </w:rPr>
            </w:pPr>
          </w:p>
        </w:tc>
      </w:tr>
      <w:tr w:rsidR="00BD576F" w:rsidRPr="0095206F" w14:paraId="16B1C0F7" w14:textId="77777777" w:rsidTr="000D54F0">
        <w:tc>
          <w:tcPr>
            <w:tcW w:w="2210" w:type="dxa"/>
          </w:tcPr>
          <w:p w14:paraId="3C9DF79A" w14:textId="77777777" w:rsidR="00BD576F" w:rsidRPr="0095206F" w:rsidRDefault="00BD576F" w:rsidP="00877BB1">
            <w:pPr>
              <w:rPr>
                <w:sz w:val="22"/>
                <w:szCs w:val="22"/>
              </w:rPr>
            </w:pPr>
            <w:r w:rsidRPr="0095206F">
              <w:rPr>
                <w:sz w:val="22"/>
                <w:szCs w:val="22"/>
              </w:rPr>
              <w:t>Approved by Board</w:t>
            </w:r>
          </w:p>
        </w:tc>
        <w:tc>
          <w:tcPr>
            <w:tcW w:w="1896" w:type="dxa"/>
          </w:tcPr>
          <w:p w14:paraId="1330B440" w14:textId="719DD1FD" w:rsidR="00BD576F" w:rsidRPr="0095206F" w:rsidRDefault="000D54F0" w:rsidP="00877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October 2020</w:t>
            </w:r>
          </w:p>
        </w:tc>
        <w:tc>
          <w:tcPr>
            <w:tcW w:w="4536" w:type="dxa"/>
          </w:tcPr>
          <w:p w14:paraId="4E7FC4E7" w14:textId="77777777" w:rsidR="00BD576F" w:rsidRPr="0095206F" w:rsidRDefault="00BD576F" w:rsidP="00877BB1">
            <w:pPr>
              <w:rPr>
                <w:sz w:val="22"/>
                <w:szCs w:val="22"/>
              </w:rPr>
            </w:pPr>
          </w:p>
        </w:tc>
      </w:tr>
      <w:tr w:rsidR="00BD576F" w:rsidRPr="0095206F" w14:paraId="008AAB83" w14:textId="77777777" w:rsidTr="000D54F0">
        <w:tc>
          <w:tcPr>
            <w:tcW w:w="2210" w:type="dxa"/>
          </w:tcPr>
          <w:p w14:paraId="3C447E8D" w14:textId="77777777" w:rsidR="00BD576F" w:rsidRPr="0095206F" w:rsidRDefault="00BD576F" w:rsidP="00877BB1">
            <w:pPr>
              <w:rPr>
                <w:sz w:val="22"/>
                <w:szCs w:val="22"/>
              </w:rPr>
            </w:pPr>
            <w:r w:rsidRPr="0095206F">
              <w:rPr>
                <w:sz w:val="22"/>
                <w:szCs w:val="22"/>
              </w:rPr>
              <w:t>Superseded</w:t>
            </w:r>
          </w:p>
        </w:tc>
        <w:tc>
          <w:tcPr>
            <w:tcW w:w="1896" w:type="dxa"/>
          </w:tcPr>
          <w:p w14:paraId="2AB7B141" w14:textId="77777777" w:rsidR="00BD576F" w:rsidRPr="0095206F" w:rsidRDefault="00BD576F" w:rsidP="00877BB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417CFC5" w14:textId="77777777" w:rsidR="00BD576F" w:rsidRPr="0095206F" w:rsidRDefault="00BD576F" w:rsidP="00877BB1">
            <w:pPr>
              <w:rPr>
                <w:sz w:val="22"/>
                <w:szCs w:val="22"/>
              </w:rPr>
            </w:pPr>
          </w:p>
        </w:tc>
      </w:tr>
    </w:tbl>
    <w:p w14:paraId="2B98E2B6" w14:textId="77777777" w:rsidR="00705897" w:rsidRPr="0095206F" w:rsidRDefault="00705897" w:rsidP="00877BB1">
      <w:pPr>
        <w:rPr>
          <w:sz w:val="22"/>
          <w:szCs w:val="22"/>
        </w:rPr>
      </w:pPr>
    </w:p>
    <w:p w14:paraId="076E7460" w14:textId="74AF03E3" w:rsidR="00705897" w:rsidRPr="000D54F0" w:rsidRDefault="006D7C8A" w:rsidP="000D54F0">
      <w:pPr>
        <w:pStyle w:val="Heading2"/>
      </w:pPr>
      <w:r w:rsidRPr="000D54F0">
        <w:t>BOARD OF PROFESSIONAL ENGINEERS OF QUEENSLAND</w:t>
      </w:r>
    </w:p>
    <w:p w14:paraId="7935178B" w14:textId="56334A6B" w:rsidR="006D7C8A" w:rsidRPr="0095206F" w:rsidRDefault="006D2F30" w:rsidP="00877BB1">
      <w:pPr>
        <w:rPr>
          <w:sz w:val="22"/>
          <w:szCs w:val="22"/>
        </w:rPr>
      </w:pPr>
      <w:r w:rsidRPr="00BA4B2A">
        <w:rPr>
          <w:sz w:val="22"/>
          <w:szCs w:val="22"/>
        </w:rPr>
        <w:t xml:space="preserve">The Board of Professional Engineers of Queensland (Board) is a statutory body established under the </w:t>
      </w:r>
      <w:r w:rsidRPr="00BA4B2A">
        <w:rPr>
          <w:i/>
          <w:sz w:val="22"/>
          <w:szCs w:val="22"/>
        </w:rPr>
        <w:t>Professional Engineers Act 2002</w:t>
      </w:r>
      <w:r w:rsidRPr="00BA4B2A">
        <w:rPr>
          <w:sz w:val="22"/>
          <w:szCs w:val="22"/>
        </w:rPr>
        <w:t>, to uphold the standards of practice through regulating the engineering profession in Queensland</w:t>
      </w:r>
      <w:r>
        <w:rPr>
          <w:sz w:val="22"/>
          <w:szCs w:val="22"/>
        </w:rPr>
        <w:t>.</w:t>
      </w:r>
    </w:p>
    <w:p w14:paraId="55A0C37F" w14:textId="04D527E9" w:rsidR="006D7C8A" w:rsidRPr="000D54F0" w:rsidRDefault="006D7C8A" w:rsidP="000D54F0">
      <w:pPr>
        <w:pStyle w:val="Heading2"/>
      </w:pPr>
      <w:r w:rsidRPr="000D54F0">
        <w:t>PURPOSE</w:t>
      </w:r>
    </w:p>
    <w:p w14:paraId="52326E0D" w14:textId="57DFB6BD" w:rsidR="006D2F30" w:rsidRPr="00BA4B2A" w:rsidRDefault="006D2F30" w:rsidP="006D2F30">
      <w:pPr>
        <w:rPr>
          <w:sz w:val="22"/>
          <w:szCs w:val="22"/>
        </w:rPr>
      </w:pPr>
      <w:r w:rsidRPr="00BA4B2A">
        <w:rPr>
          <w:sz w:val="22"/>
          <w:szCs w:val="22"/>
        </w:rPr>
        <w:t xml:space="preserve">The purpose of this policy is to </w:t>
      </w:r>
      <w:r w:rsidR="00F066D4">
        <w:rPr>
          <w:sz w:val="22"/>
          <w:szCs w:val="22"/>
        </w:rPr>
        <w:t>provide clarity in relation to</w:t>
      </w:r>
      <w:r w:rsidRPr="00BA4B2A">
        <w:rPr>
          <w:sz w:val="22"/>
          <w:szCs w:val="22"/>
        </w:rPr>
        <w:t xml:space="preserve"> the Board</w:t>
      </w:r>
      <w:r>
        <w:rPr>
          <w:sz w:val="22"/>
          <w:szCs w:val="22"/>
        </w:rPr>
        <w:t>’s</w:t>
      </w:r>
      <w:r w:rsidRPr="00BA4B2A">
        <w:rPr>
          <w:sz w:val="22"/>
          <w:szCs w:val="22"/>
        </w:rPr>
        <w:t xml:space="preserve"> </w:t>
      </w:r>
      <w:r w:rsidR="00D334CE">
        <w:rPr>
          <w:sz w:val="22"/>
          <w:szCs w:val="22"/>
        </w:rPr>
        <w:t xml:space="preserve">policy considerations </w:t>
      </w:r>
      <w:r w:rsidR="00F066D4">
        <w:rPr>
          <w:sz w:val="22"/>
          <w:szCs w:val="22"/>
        </w:rPr>
        <w:t xml:space="preserve">when </w:t>
      </w:r>
      <w:r>
        <w:rPr>
          <w:sz w:val="22"/>
          <w:szCs w:val="22"/>
        </w:rPr>
        <w:t>consider</w:t>
      </w:r>
      <w:r w:rsidR="00F066D4">
        <w:rPr>
          <w:sz w:val="22"/>
          <w:szCs w:val="22"/>
        </w:rPr>
        <w:t>ing</w:t>
      </w:r>
      <w:r>
        <w:rPr>
          <w:sz w:val="22"/>
          <w:szCs w:val="22"/>
        </w:rPr>
        <w:t xml:space="preserve"> </w:t>
      </w:r>
      <w:r w:rsidR="008511D9">
        <w:rPr>
          <w:sz w:val="22"/>
          <w:szCs w:val="22"/>
        </w:rPr>
        <w:t xml:space="preserve">applications by organisations to become an Assessment Entity </w:t>
      </w:r>
      <w:r w:rsidR="001B0891">
        <w:rPr>
          <w:sz w:val="22"/>
          <w:szCs w:val="22"/>
        </w:rPr>
        <w:t>provid</w:t>
      </w:r>
      <w:r w:rsidR="00B45AF2">
        <w:rPr>
          <w:sz w:val="22"/>
          <w:szCs w:val="22"/>
        </w:rPr>
        <w:t>ing</w:t>
      </w:r>
      <w:r w:rsidR="001B0891">
        <w:rPr>
          <w:sz w:val="22"/>
          <w:szCs w:val="22"/>
        </w:rPr>
        <w:t xml:space="preserve"> an assessment s</w:t>
      </w:r>
      <w:r w:rsidR="008511D9">
        <w:rPr>
          <w:sz w:val="22"/>
          <w:szCs w:val="22"/>
        </w:rPr>
        <w:t xml:space="preserve">cheme under the </w:t>
      </w:r>
      <w:r w:rsidRPr="006D2F30">
        <w:rPr>
          <w:i/>
          <w:iCs/>
          <w:sz w:val="22"/>
          <w:szCs w:val="22"/>
        </w:rPr>
        <w:t>Professional Engineers Act 2002</w:t>
      </w:r>
      <w:r w:rsidRPr="00BA4B2A">
        <w:rPr>
          <w:sz w:val="22"/>
          <w:szCs w:val="22"/>
        </w:rPr>
        <w:t xml:space="preserve"> (</w:t>
      </w:r>
      <w:r w:rsidR="00105FFE">
        <w:rPr>
          <w:sz w:val="22"/>
          <w:szCs w:val="22"/>
        </w:rPr>
        <w:t xml:space="preserve">the </w:t>
      </w:r>
      <w:r w:rsidRPr="00BA4B2A">
        <w:rPr>
          <w:sz w:val="22"/>
          <w:szCs w:val="22"/>
        </w:rPr>
        <w:t>Ac</w:t>
      </w:r>
      <w:r>
        <w:rPr>
          <w:sz w:val="22"/>
          <w:szCs w:val="22"/>
        </w:rPr>
        <w:t>t)</w:t>
      </w:r>
      <w:r w:rsidRPr="00BA4B2A">
        <w:rPr>
          <w:sz w:val="22"/>
          <w:szCs w:val="22"/>
        </w:rPr>
        <w:t>.</w:t>
      </w:r>
    </w:p>
    <w:p w14:paraId="73B4DCC9" w14:textId="77777777" w:rsidR="006D2F30" w:rsidRPr="00BA4B2A" w:rsidRDefault="006D2F30" w:rsidP="006D2F30">
      <w:pPr>
        <w:rPr>
          <w:sz w:val="22"/>
          <w:szCs w:val="22"/>
        </w:rPr>
      </w:pPr>
      <w:r w:rsidRPr="00BA4B2A">
        <w:rPr>
          <w:sz w:val="22"/>
          <w:szCs w:val="22"/>
        </w:rPr>
        <w:t>This policy provides:</w:t>
      </w:r>
    </w:p>
    <w:p w14:paraId="7C86F2B8" w14:textId="01DEF762" w:rsidR="006D2F30" w:rsidRPr="00BA4B2A" w:rsidRDefault="006D2F30" w:rsidP="006D2F30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 w:rsidRPr="00BA4B2A">
        <w:rPr>
          <w:rFonts w:ascii="Arial" w:hAnsi="Arial" w:cs="Arial"/>
          <w:sz w:val="22"/>
        </w:rPr>
        <w:t xml:space="preserve">the framework on how the Board will manage </w:t>
      </w:r>
      <w:r>
        <w:rPr>
          <w:rFonts w:ascii="Arial" w:hAnsi="Arial" w:cs="Arial"/>
          <w:sz w:val="22"/>
        </w:rPr>
        <w:t xml:space="preserve">the </w:t>
      </w:r>
      <w:r w:rsidR="008511D9">
        <w:rPr>
          <w:rFonts w:ascii="Arial" w:hAnsi="Arial" w:cs="Arial"/>
          <w:sz w:val="22"/>
        </w:rPr>
        <w:t>application process regarding becoming an Assessment Entity and administering an Assessment Scheme on behalf of the Board</w:t>
      </w:r>
      <w:r w:rsidRPr="00BA4B2A">
        <w:rPr>
          <w:rFonts w:ascii="Arial" w:hAnsi="Arial" w:cs="Arial"/>
          <w:sz w:val="22"/>
        </w:rPr>
        <w:t>; and</w:t>
      </w:r>
    </w:p>
    <w:p w14:paraId="4769D6E7" w14:textId="607B47EC" w:rsidR="006D7C8A" w:rsidRPr="006D2F30" w:rsidRDefault="008511D9" w:rsidP="00877BB1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guidance to current and potential providers in relation to Board </w:t>
      </w:r>
      <w:r w:rsidR="007E0CA8">
        <w:rPr>
          <w:rFonts w:ascii="Arial" w:hAnsi="Arial" w:cs="Arial"/>
          <w:sz w:val="22"/>
        </w:rPr>
        <w:t xml:space="preserve">considerations, </w:t>
      </w:r>
      <w:r>
        <w:rPr>
          <w:rFonts w:ascii="Arial" w:hAnsi="Arial" w:cs="Arial"/>
          <w:sz w:val="22"/>
        </w:rPr>
        <w:t>expectations and practices</w:t>
      </w:r>
      <w:r w:rsidR="006D2F30" w:rsidRPr="00BA4B2A">
        <w:rPr>
          <w:rFonts w:ascii="Arial" w:hAnsi="Arial" w:cs="Arial"/>
          <w:sz w:val="22"/>
        </w:rPr>
        <w:t>.</w:t>
      </w:r>
    </w:p>
    <w:p w14:paraId="191B6ED9" w14:textId="2C0BEA3F" w:rsidR="006D7C8A" w:rsidRPr="000D54F0" w:rsidRDefault="00105FFE" w:rsidP="000D54F0">
      <w:pPr>
        <w:pStyle w:val="Heading2"/>
      </w:pPr>
      <w:r w:rsidRPr="000D54F0">
        <w:t>AUTHORITY</w:t>
      </w:r>
    </w:p>
    <w:p w14:paraId="79DABDE0" w14:textId="20D5E522" w:rsidR="008511D9" w:rsidRPr="00BC64BC" w:rsidRDefault="008511D9" w:rsidP="008511D9">
      <w:pPr>
        <w:spacing w:after="240"/>
        <w:rPr>
          <w:sz w:val="22"/>
          <w:lang w:eastAsia="en-AU"/>
        </w:rPr>
      </w:pPr>
      <w:r>
        <w:rPr>
          <w:sz w:val="22"/>
          <w:szCs w:val="22"/>
        </w:rPr>
        <w:t xml:space="preserve">Part 6A of the </w:t>
      </w:r>
      <w:r w:rsidR="00BC64BC" w:rsidRPr="00BC64BC">
        <w:rPr>
          <w:sz w:val="22"/>
          <w:szCs w:val="22"/>
        </w:rPr>
        <w:t xml:space="preserve">Act </w:t>
      </w:r>
      <w:r>
        <w:rPr>
          <w:sz w:val="22"/>
          <w:szCs w:val="22"/>
        </w:rPr>
        <w:t>outlines the legislative requirements in relation to Assessment entities and the process for assessment scheme approval.</w:t>
      </w:r>
    </w:p>
    <w:p w14:paraId="16B47E81" w14:textId="1724B410" w:rsidR="006D7C8A" w:rsidRPr="000D54F0" w:rsidRDefault="006D7C8A" w:rsidP="000D54F0">
      <w:pPr>
        <w:pStyle w:val="Heading2"/>
      </w:pPr>
      <w:r w:rsidRPr="000D54F0">
        <w:t>RESPONSIBILITIES</w:t>
      </w:r>
    </w:p>
    <w:p w14:paraId="56887F22" w14:textId="0B58C689" w:rsidR="00BC64BC" w:rsidRDefault="001B0891" w:rsidP="00BC64BC">
      <w:pPr>
        <w:rPr>
          <w:sz w:val="22"/>
          <w:szCs w:val="22"/>
        </w:rPr>
      </w:pPr>
      <w:r>
        <w:rPr>
          <w:sz w:val="22"/>
          <w:szCs w:val="22"/>
        </w:rPr>
        <w:t>In determining whether a proposed assessment scheme is suitable for approval; OR in assessing a renewal application as to whether an assessment scheme continues to be suitable, the Act req</w:t>
      </w:r>
      <w:r w:rsidR="007E0CA8">
        <w:rPr>
          <w:sz w:val="22"/>
          <w:szCs w:val="22"/>
        </w:rPr>
        <w:t>u</w:t>
      </w:r>
      <w:r>
        <w:rPr>
          <w:sz w:val="22"/>
          <w:szCs w:val="22"/>
        </w:rPr>
        <w:t>ires the following:</w:t>
      </w:r>
    </w:p>
    <w:p w14:paraId="67C51C6E" w14:textId="0FE09DAD" w:rsidR="000D54F0" w:rsidRDefault="000D54F0" w:rsidP="00BC64BC">
      <w:pPr>
        <w:rPr>
          <w:sz w:val="22"/>
          <w:szCs w:val="22"/>
        </w:rPr>
      </w:pPr>
    </w:p>
    <w:p w14:paraId="370DB709" w14:textId="77777777" w:rsidR="000D54F0" w:rsidRDefault="000D54F0" w:rsidP="00BC64BC">
      <w:pPr>
        <w:rPr>
          <w:sz w:val="22"/>
          <w:szCs w:val="22"/>
        </w:rPr>
      </w:pPr>
    </w:p>
    <w:p w14:paraId="05A8E982" w14:textId="77777777" w:rsidR="00914BD2" w:rsidRDefault="00914BD2" w:rsidP="000D54F0">
      <w:pPr>
        <w:pStyle w:val="Heading3"/>
      </w:pPr>
    </w:p>
    <w:p w14:paraId="3B004637" w14:textId="73790B06" w:rsidR="001B0891" w:rsidRDefault="001B0891" w:rsidP="000D54F0">
      <w:pPr>
        <w:pStyle w:val="Heading3"/>
      </w:pPr>
      <w:r>
        <w:t>S112B</w:t>
      </w:r>
    </w:p>
    <w:p w14:paraId="455DA9F8" w14:textId="1179D6E0" w:rsidR="001B0891" w:rsidRPr="00B16EA1" w:rsidRDefault="001B0891" w:rsidP="001B0891">
      <w:pPr>
        <w:pStyle w:val="ListParagraph"/>
        <w:numPr>
          <w:ilvl w:val="0"/>
          <w:numId w:val="22"/>
        </w:numPr>
        <w:rPr>
          <w:rFonts w:ascii="Arial" w:hAnsi="Arial" w:cs="Arial"/>
          <w:sz w:val="22"/>
        </w:rPr>
      </w:pPr>
      <w:r w:rsidRPr="00B16EA1">
        <w:rPr>
          <w:rFonts w:ascii="Arial" w:hAnsi="Arial" w:cs="Arial"/>
          <w:sz w:val="22"/>
        </w:rPr>
        <w:t>the scheme adequately provides for the assessment of qualifications and competencies of engineers in an identifiable area of engineering;</w:t>
      </w:r>
    </w:p>
    <w:p w14:paraId="1B651F98" w14:textId="4FD5D48E" w:rsidR="001B0891" w:rsidRPr="00B16EA1" w:rsidRDefault="001B0891" w:rsidP="001B0891">
      <w:pPr>
        <w:pStyle w:val="ListParagraph"/>
        <w:numPr>
          <w:ilvl w:val="0"/>
          <w:numId w:val="22"/>
        </w:numPr>
        <w:rPr>
          <w:rFonts w:ascii="Arial" w:hAnsi="Arial" w:cs="Arial"/>
          <w:sz w:val="22"/>
        </w:rPr>
      </w:pPr>
      <w:r w:rsidRPr="00B16EA1">
        <w:rPr>
          <w:rFonts w:ascii="Arial" w:hAnsi="Arial" w:cs="Arial"/>
          <w:sz w:val="22"/>
        </w:rPr>
        <w:t>the scheme is consistent with national and international standards for the recognition of professional engineers;</w:t>
      </w:r>
    </w:p>
    <w:p w14:paraId="594831F0" w14:textId="0351C754" w:rsidR="001B0891" w:rsidRPr="00B16EA1" w:rsidRDefault="001B0891" w:rsidP="001B0891">
      <w:pPr>
        <w:pStyle w:val="ListParagraph"/>
        <w:numPr>
          <w:ilvl w:val="0"/>
          <w:numId w:val="22"/>
        </w:numPr>
        <w:rPr>
          <w:rFonts w:ascii="Arial" w:hAnsi="Arial" w:cs="Arial"/>
          <w:sz w:val="22"/>
        </w:rPr>
      </w:pPr>
      <w:r w:rsidRPr="00B16EA1">
        <w:rPr>
          <w:rFonts w:ascii="Arial" w:hAnsi="Arial" w:cs="Arial"/>
          <w:sz w:val="22"/>
        </w:rPr>
        <w:t>the scheme includes procedures for assessment of applicants for registration are conducted in an independent and professional manner;</w:t>
      </w:r>
    </w:p>
    <w:p w14:paraId="735898BC" w14:textId="051EED07" w:rsidR="001B0891" w:rsidRPr="00B16EA1" w:rsidRDefault="001B0891" w:rsidP="001B0891">
      <w:pPr>
        <w:pStyle w:val="ListParagraph"/>
        <w:numPr>
          <w:ilvl w:val="0"/>
          <w:numId w:val="22"/>
        </w:numPr>
        <w:rPr>
          <w:rFonts w:ascii="Arial" w:hAnsi="Arial" w:cs="Arial"/>
          <w:sz w:val="22"/>
        </w:rPr>
      </w:pPr>
      <w:r w:rsidRPr="00B16EA1">
        <w:rPr>
          <w:rFonts w:ascii="Arial" w:hAnsi="Arial" w:cs="Arial"/>
          <w:sz w:val="22"/>
        </w:rPr>
        <w:t>there are adequate procedures for monitoring and improving the assessment process;</w:t>
      </w:r>
    </w:p>
    <w:p w14:paraId="3BE4D849" w14:textId="211E4050" w:rsidR="001B0891" w:rsidRPr="00B16EA1" w:rsidRDefault="001B0891" w:rsidP="003C19FB">
      <w:pPr>
        <w:pStyle w:val="ListParagraph"/>
        <w:numPr>
          <w:ilvl w:val="0"/>
          <w:numId w:val="22"/>
        </w:numPr>
        <w:rPr>
          <w:rFonts w:ascii="Arial" w:hAnsi="Arial" w:cs="Arial"/>
          <w:sz w:val="22"/>
        </w:rPr>
      </w:pPr>
      <w:r w:rsidRPr="00B16EA1">
        <w:rPr>
          <w:rFonts w:ascii="Arial" w:hAnsi="Arial" w:cs="Arial"/>
          <w:sz w:val="22"/>
        </w:rPr>
        <w:t>the fees imposed are reasonable having regard to the scope of services provided;</w:t>
      </w:r>
    </w:p>
    <w:p w14:paraId="2095F8B5" w14:textId="10C69E25" w:rsidR="001B0891" w:rsidRPr="00B16EA1" w:rsidRDefault="001B0891" w:rsidP="003C19FB">
      <w:pPr>
        <w:pStyle w:val="ListParagraph"/>
        <w:numPr>
          <w:ilvl w:val="0"/>
          <w:numId w:val="22"/>
        </w:numPr>
        <w:rPr>
          <w:rFonts w:ascii="Arial" w:hAnsi="Arial" w:cs="Arial"/>
          <w:sz w:val="22"/>
        </w:rPr>
      </w:pPr>
      <w:r w:rsidRPr="00B16EA1">
        <w:rPr>
          <w:rFonts w:ascii="Arial" w:hAnsi="Arial" w:cs="Arial"/>
          <w:sz w:val="22"/>
        </w:rPr>
        <w:t>the scheme includes adequate continuing professional development requirements and an effective audit program;</w:t>
      </w:r>
    </w:p>
    <w:p w14:paraId="1DFB20DD" w14:textId="6BC90580" w:rsidR="001B0891" w:rsidRPr="00B16EA1" w:rsidRDefault="001B0891" w:rsidP="003C19FB">
      <w:pPr>
        <w:pStyle w:val="ListParagraph"/>
        <w:numPr>
          <w:ilvl w:val="0"/>
          <w:numId w:val="22"/>
        </w:numPr>
        <w:rPr>
          <w:rFonts w:ascii="Arial" w:hAnsi="Arial" w:cs="Arial"/>
          <w:sz w:val="22"/>
        </w:rPr>
      </w:pPr>
      <w:r w:rsidRPr="00B16EA1">
        <w:rPr>
          <w:rFonts w:ascii="Arial" w:hAnsi="Arial" w:cs="Arial"/>
          <w:sz w:val="22"/>
        </w:rPr>
        <w:t>competent persons are employed to perform assessments and there are proven procedures for training and accrediting those person</w:t>
      </w:r>
      <w:r w:rsidR="000D54F0">
        <w:rPr>
          <w:rFonts w:ascii="Arial" w:hAnsi="Arial" w:cs="Arial"/>
          <w:sz w:val="22"/>
        </w:rPr>
        <w:t>s</w:t>
      </w:r>
      <w:r w:rsidRPr="00B16EA1">
        <w:rPr>
          <w:rFonts w:ascii="Arial" w:hAnsi="Arial" w:cs="Arial"/>
          <w:sz w:val="22"/>
        </w:rPr>
        <w:t xml:space="preserve"> who will perform the assessments;</w:t>
      </w:r>
    </w:p>
    <w:p w14:paraId="56D612EE" w14:textId="4B710BF0" w:rsidR="001B0891" w:rsidRPr="00B16EA1" w:rsidRDefault="001B0891" w:rsidP="003C19FB">
      <w:pPr>
        <w:pStyle w:val="ListParagraph"/>
        <w:numPr>
          <w:ilvl w:val="0"/>
          <w:numId w:val="22"/>
        </w:numPr>
        <w:rPr>
          <w:rFonts w:ascii="Arial" w:hAnsi="Arial" w:cs="Arial"/>
          <w:sz w:val="22"/>
        </w:rPr>
      </w:pPr>
      <w:r w:rsidRPr="00B16EA1">
        <w:rPr>
          <w:rFonts w:ascii="Arial" w:hAnsi="Arial" w:cs="Arial"/>
          <w:sz w:val="22"/>
        </w:rPr>
        <w:t>the organi</w:t>
      </w:r>
      <w:r w:rsidR="00772434">
        <w:rPr>
          <w:rFonts w:ascii="Arial" w:hAnsi="Arial" w:cs="Arial"/>
          <w:sz w:val="22"/>
        </w:rPr>
        <w:t>s</w:t>
      </w:r>
      <w:r w:rsidRPr="00B16EA1">
        <w:rPr>
          <w:rFonts w:ascii="Arial" w:hAnsi="Arial" w:cs="Arial"/>
          <w:sz w:val="22"/>
        </w:rPr>
        <w:t xml:space="preserve">ation has the financial capacity and facilities to conduct </w:t>
      </w:r>
      <w:r w:rsidR="009C5D0C" w:rsidRPr="00B16EA1">
        <w:rPr>
          <w:rFonts w:ascii="Arial" w:hAnsi="Arial" w:cs="Arial"/>
          <w:sz w:val="22"/>
        </w:rPr>
        <w:t>assessments</w:t>
      </w:r>
      <w:r w:rsidRPr="00B16EA1">
        <w:rPr>
          <w:rFonts w:ascii="Arial" w:hAnsi="Arial" w:cs="Arial"/>
          <w:sz w:val="22"/>
        </w:rPr>
        <w:t xml:space="preserve"> of qualifications and </w:t>
      </w:r>
      <w:r w:rsidR="009C5D0C" w:rsidRPr="00B16EA1">
        <w:rPr>
          <w:rFonts w:ascii="Arial" w:hAnsi="Arial" w:cs="Arial"/>
          <w:sz w:val="22"/>
        </w:rPr>
        <w:t>competencies;</w:t>
      </w:r>
    </w:p>
    <w:p w14:paraId="1CBB36C7" w14:textId="1F2F568D" w:rsidR="001B0891" w:rsidRPr="00B16EA1" w:rsidRDefault="001B0891" w:rsidP="003C19FB">
      <w:pPr>
        <w:pStyle w:val="ListParagraph"/>
        <w:numPr>
          <w:ilvl w:val="0"/>
          <w:numId w:val="22"/>
        </w:numPr>
        <w:rPr>
          <w:rFonts w:ascii="Arial" w:hAnsi="Arial" w:cs="Arial"/>
          <w:sz w:val="22"/>
        </w:rPr>
      </w:pPr>
      <w:r w:rsidRPr="00B16EA1">
        <w:rPr>
          <w:rFonts w:ascii="Arial" w:hAnsi="Arial" w:cs="Arial"/>
          <w:sz w:val="22"/>
        </w:rPr>
        <w:t xml:space="preserve">the </w:t>
      </w:r>
      <w:r w:rsidR="009C5D0C" w:rsidRPr="00B16EA1">
        <w:rPr>
          <w:rFonts w:ascii="Arial" w:hAnsi="Arial" w:cs="Arial"/>
          <w:sz w:val="22"/>
        </w:rPr>
        <w:t>organi</w:t>
      </w:r>
      <w:r w:rsidR="00772434">
        <w:rPr>
          <w:rFonts w:ascii="Arial" w:hAnsi="Arial" w:cs="Arial"/>
          <w:sz w:val="22"/>
        </w:rPr>
        <w:t>s</w:t>
      </w:r>
      <w:r w:rsidR="009C5D0C" w:rsidRPr="00B16EA1">
        <w:rPr>
          <w:rFonts w:ascii="Arial" w:hAnsi="Arial" w:cs="Arial"/>
          <w:sz w:val="22"/>
        </w:rPr>
        <w:t>ation</w:t>
      </w:r>
      <w:r w:rsidRPr="00B16EA1">
        <w:rPr>
          <w:rFonts w:ascii="Arial" w:hAnsi="Arial" w:cs="Arial"/>
          <w:sz w:val="22"/>
        </w:rPr>
        <w:t xml:space="preserve"> has a proven capacity to undertake independent and authoritative assessments in a timely manner;</w:t>
      </w:r>
    </w:p>
    <w:p w14:paraId="2EB8B30E" w14:textId="1569C501" w:rsidR="006D7C8A" w:rsidRPr="00B16EA1" w:rsidRDefault="001B0891" w:rsidP="003C19FB">
      <w:pPr>
        <w:pStyle w:val="ListParagraph"/>
        <w:numPr>
          <w:ilvl w:val="0"/>
          <w:numId w:val="22"/>
        </w:numPr>
        <w:rPr>
          <w:rFonts w:ascii="Arial" w:hAnsi="Arial" w:cs="Arial"/>
          <w:sz w:val="22"/>
        </w:rPr>
      </w:pPr>
      <w:r w:rsidRPr="00B16EA1">
        <w:rPr>
          <w:rFonts w:ascii="Arial" w:hAnsi="Arial" w:cs="Arial"/>
          <w:sz w:val="22"/>
        </w:rPr>
        <w:t xml:space="preserve">the </w:t>
      </w:r>
      <w:r w:rsidR="009C5D0C" w:rsidRPr="00B16EA1">
        <w:rPr>
          <w:rFonts w:ascii="Arial" w:hAnsi="Arial" w:cs="Arial"/>
          <w:sz w:val="22"/>
        </w:rPr>
        <w:t>organi</w:t>
      </w:r>
      <w:r w:rsidR="00772434">
        <w:rPr>
          <w:rFonts w:ascii="Arial" w:hAnsi="Arial" w:cs="Arial"/>
          <w:sz w:val="22"/>
        </w:rPr>
        <w:t>s</w:t>
      </w:r>
      <w:r w:rsidR="009C5D0C" w:rsidRPr="00B16EA1">
        <w:rPr>
          <w:rFonts w:ascii="Arial" w:hAnsi="Arial" w:cs="Arial"/>
          <w:sz w:val="22"/>
        </w:rPr>
        <w:t>ation</w:t>
      </w:r>
      <w:r w:rsidRPr="00B16EA1">
        <w:rPr>
          <w:rFonts w:ascii="Arial" w:hAnsi="Arial" w:cs="Arial"/>
          <w:sz w:val="22"/>
        </w:rPr>
        <w:t xml:space="preserve"> can satisfy any other criteria provided for under regulation.</w:t>
      </w:r>
    </w:p>
    <w:p w14:paraId="772928D2" w14:textId="4C937DD8" w:rsidR="004A5720" w:rsidRPr="004A5720" w:rsidRDefault="004A5720" w:rsidP="004A5720">
      <w:r w:rsidRPr="004A5720">
        <w:rPr>
          <w:sz w:val="22"/>
        </w:rPr>
        <w:t xml:space="preserve">Assessment </w:t>
      </w:r>
      <w:r>
        <w:rPr>
          <w:sz w:val="22"/>
        </w:rPr>
        <w:t>E</w:t>
      </w:r>
      <w:r w:rsidRPr="004A5720">
        <w:rPr>
          <w:sz w:val="22"/>
        </w:rPr>
        <w:t>ntities applying for approval or renewal of an assessment scheme</w:t>
      </w:r>
      <w:r>
        <w:rPr>
          <w:sz w:val="22"/>
        </w:rPr>
        <w:t xml:space="preserve"> should</w:t>
      </w:r>
      <w:r w:rsidRPr="004A5720">
        <w:rPr>
          <w:sz w:val="22"/>
        </w:rPr>
        <w:t xml:space="preserve"> also address the requirements</w:t>
      </w:r>
      <w:r w:rsidR="0071248A">
        <w:rPr>
          <w:sz w:val="22"/>
        </w:rPr>
        <w:t xml:space="preserve"> in</w:t>
      </w:r>
      <w:r w:rsidRPr="004A5720">
        <w:rPr>
          <w:sz w:val="22"/>
        </w:rPr>
        <w:t xml:space="preserve"> the</w:t>
      </w:r>
      <w:r>
        <w:rPr>
          <w:sz w:val="22"/>
        </w:rPr>
        <w:t xml:space="preserve"> Board’s</w:t>
      </w:r>
      <w:r w:rsidRPr="004A5720">
        <w:rPr>
          <w:sz w:val="22"/>
        </w:rPr>
        <w:t xml:space="preserve"> </w:t>
      </w:r>
      <w:r w:rsidRPr="004A5720">
        <w:rPr>
          <w:i/>
          <w:iCs/>
          <w:sz w:val="22"/>
        </w:rPr>
        <w:t>Instructions for Applying for Approval, Renewal or Variation of an Assessment Scheme</w:t>
      </w:r>
      <w:r>
        <w:rPr>
          <w:i/>
          <w:iCs/>
          <w:sz w:val="22"/>
        </w:rPr>
        <w:t xml:space="preserve"> </w:t>
      </w:r>
      <w:r>
        <w:rPr>
          <w:sz w:val="22"/>
        </w:rPr>
        <w:t>document.</w:t>
      </w:r>
    </w:p>
    <w:p w14:paraId="203DE979" w14:textId="23391498" w:rsidR="006D7C8A" w:rsidRPr="00B16EA1" w:rsidRDefault="0071248A" w:rsidP="00877BB1">
      <w:pPr>
        <w:rPr>
          <w:sz w:val="22"/>
          <w:szCs w:val="22"/>
        </w:rPr>
      </w:pPr>
      <w:r>
        <w:rPr>
          <w:sz w:val="22"/>
          <w:szCs w:val="22"/>
        </w:rPr>
        <w:t>For clarity, t</w:t>
      </w:r>
      <w:r w:rsidR="005D294D" w:rsidRPr="00B16EA1">
        <w:rPr>
          <w:sz w:val="22"/>
          <w:szCs w:val="22"/>
        </w:rPr>
        <w:t>he Board is the administering authority for</w:t>
      </w:r>
      <w:r w:rsidR="001B0891" w:rsidRPr="00B16EA1">
        <w:rPr>
          <w:sz w:val="22"/>
          <w:szCs w:val="22"/>
        </w:rPr>
        <w:t xml:space="preserve"> all applications to become an Assessment Entity</w:t>
      </w:r>
      <w:r w:rsidR="005D294D" w:rsidRPr="00B16EA1">
        <w:rPr>
          <w:sz w:val="22"/>
          <w:szCs w:val="22"/>
        </w:rPr>
        <w:t>.</w:t>
      </w:r>
    </w:p>
    <w:p w14:paraId="396EC09B" w14:textId="4F7CD045" w:rsidR="00BC64BC" w:rsidRPr="000D54F0" w:rsidRDefault="00BC64BC" w:rsidP="000D54F0">
      <w:pPr>
        <w:pStyle w:val="Heading2"/>
      </w:pPr>
      <w:r w:rsidRPr="000D54F0">
        <w:t>PROCEDURE</w:t>
      </w:r>
      <w:r w:rsidR="007E0CA8" w:rsidRPr="000D54F0">
        <w:t xml:space="preserve"> FOR APPLICATION</w:t>
      </w:r>
    </w:p>
    <w:p w14:paraId="3CB1172A" w14:textId="7E698E35" w:rsidR="00E4748C" w:rsidRPr="00B16EA1" w:rsidRDefault="00E4748C" w:rsidP="00E4748C">
      <w:pPr>
        <w:pStyle w:val="ListParagraph"/>
        <w:numPr>
          <w:ilvl w:val="0"/>
          <w:numId w:val="24"/>
        </w:numPr>
        <w:rPr>
          <w:rFonts w:ascii="Arial" w:hAnsi="Arial" w:cs="Arial"/>
          <w:sz w:val="22"/>
        </w:rPr>
      </w:pPr>
      <w:r w:rsidRPr="00B16EA1">
        <w:rPr>
          <w:rFonts w:ascii="Arial" w:hAnsi="Arial" w:cs="Arial"/>
          <w:sz w:val="22"/>
        </w:rPr>
        <w:t>An application is made to the Minister for approval of a proposed assessment scheme</w:t>
      </w:r>
      <w:r w:rsidR="000D54F0">
        <w:rPr>
          <w:rFonts w:ascii="Arial" w:hAnsi="Arial" w:cs="Arial"/>
          <w:sz w:val="22"/>
        </w:rPr>
        <w:t>.</w:t>
      </w:r>
    </w:p>
    <w:p w14:paraId="5E48A884" w14:textId="64C25959" w:rsidR="00E4748C" w:rsidRPr="00B16EA1" w:rsidRDefault="00E4748C" w:rsidP="00E4748C">
      <w:pPr>
        <w:pStyle w:val="ListParagraph"/>
        <w:numPr>
          <w:ilvl w:val="0"/>
          <w:numId w:val="24"/>
        </w:numPr>
        <w:rPr>
          <w:rFonts w:ascii="Arial" w:hAnsi="Arial" w:cs="Arial"/>
          <w:sz w:val="22"/>
        </w:rPr>
      </w:pPr>
      <w:r w:rsidRPr="00B16EA1">
        <w:rPr>
          <w:rFonts w:ascii="Arial" w:hAnsi="Arial" w:cs="Arial"/>
          <w:sz w:val="22"/>
        </w:rPr>
        <w:t>The application must be in the approved form</w:t>
      </w:r>
      <w:r w:rsidR="009C5D0C" w:rsidRPr="00B16EA1">
        <w:rPr>
          <w:rFonts w:ascii="Arial" w:hAnsi="Arial" w:cs="Arial"/>
          <w:sz w:val="22"/>
        </w:rPr>
        <w:t>.</w:t>
      </w:r>
    </w:p>
    <w:p w14:paraId="3AC2B8D6" w14:textId="32818030" w:rsidR="00A2445F" w:rsidRPr="00B16EA1" w:rsidRDefault="00E4748C" w:rsidP="00A2445F">
      <w:pPr>
        <w:pStyle w:val="ListParagraph"/>
        <w:numPr>
          <w:ilvl w:val="0"/>
          <w:numId w:val="24"/>
        </w:numPr>
        <w:rPr>
          <w:rFonts w:ascii="Arial" w:hAnsi="Arial" w:cs="Arial"/>
          <w:sz w:val="22"/>
        </w:rPr>
      </w:pPr>
      <w:r w:rsidRPr="00B16EA1">
        <w:rPr>
          <w:rFonts w:ascii="Arial" w:hAnsi="Arial" w:cs="Arial"/>
          <w:sz w:val="22"/>
        </w:rPr>
        <w:t>The application must be supported by enough information to be able to decide the application</w:t>
      </w:r>
      <w:r w:rsidR="009C5D0C" w:rsidRPr="00B16EA1">
        <w:rPr>
          <w:rFonts w:ascii="Arial" w:hAnsi="Arial" w:cs="Arial"/>
          <w:sz w:val="22"/>
        </w:rPr>
        <w:t xml:space="preserve">. Further information </w:t>
      </w:r>
      <w:r w:rsidR="007E0CA8">
        <w:rPr>
          <w:rFonts w:ascii="Arial" w:hAnsi="Arial" w:cs="Arial"/>
          <w:sz w:val="22"/>
        </w:rPr>
        <w:t>will be made available to applicant’s upon request.</w:t>
      </w:r>
    </w:p>
    <w:p w14:paraId="48BD367D" w14:textId="086C6BEC" w:rsidR="00E4748C" w:rsidRPr="00B16EA1" w:rsidRDefault="00E4748C" w:rsidP="00A2445F">
      <w:pPr>
        <w:pStyle w:val="ListParagraph"/>
        <w:numPr>
          <w:ilvl w:val="0"/>
          <w:numId w:val="24"/>
        </w:numPr>
        <w:rPr>
          <w:rFonts w:ascii="Arial" w:hAnsi="Arial" w:cs="Arial"/>
          <w:sz w:val="22"/>
        </w:rPr>
      </w:pPr>
      <w:r w:rsidRPr="00B16EA1">
        <w:rPr>
          <w:rFonts w:ascii="Arial" w:hAnsi="Arial" w:cs="Arial"/>
          <w:sz w:val="22"/>
        </w:rPr>
        <w:t xml:space="preserve">The </w:t>
      </w:r>
      <w:r w:rsidR="007E0CA8">
        <w:rPr>
          <w:rFonts w:ascii="Arial" w:hAnsi="Arial" w:cs="Arial"/>
          <w:sz w:val="22"/>
        </w:rPr>
        <w:t>a</w:t>
      </w:r>
      <w:r w:rsidRPr="00B16EA1">
        <w:rPr>
          <w:rFonts w:ascii="Arial" w:hAnsi="Arial" w:cs="Arial"/>
          <w:sz w:val="22"/>
        </w:rPr>
        <w:t xml:space="preserve">pplication must </w:t>
      </w:r>
      <w:r w:rsidR="007E0CA8">
        <w:rPr>
          <w:rFonts w:ascii="Arial" w:hAnsi="Arial" w:cs="Arial"/>
          <w:sz w:val="22"/>
        </w:rPr>
        <w:t>attach</w:t>
      </w:r>
      <w:r w:rsidRPr="00B16EA1">
        <w:rPr>
          <w:rFonts w:ascii="Arial" w:hAnsi="Arial" w:cs="Arial"/>
          <w:sz w:val="22"/>
        </w:rPr>
        <w:t xml:space="preserve"> the proposed assessment scheme</w:t>
      </w:r>
      <w:r w:rsidR="00A2445F" w:rsidRPr="00B16EA1">
        <w:rPr>
          <w:rFonts w:ascii="Arial" w:hAnsi="Arial" w:cs="Arial"/>
          <w:sz w:val="22"/>
        </w:rPr>
        <w:t>.</w:t>
      </w:r>
    </w:p>
    <w:p w14:paraId="6BB8EE18" w14:textId="4274FC46" w:rsidR="00A2445F" w:rsidRDefault="00A2445F" w:rsidP="00A2445F">
      <w:pPr>
        <w:pStyle w:val="ListParagraph"/>
        <w:numPr>
          <w:ilvl w:val="0"/>
          <w:numId w:val="24"/>
        </w:numPr>
        <w:rPr>
          <w:rFonts w:ascii="Arial" w:hAnsi="Arial" w:cs="Arial"/>
          <w:sz w:val="22"/>
        </w:rPr>
      </w:pPr>
      <w:r w:rsidRPr="00B16EA1">
        <w:rPr>
          <w:rFonts w:ascii="Arial" w:hAnsi="Arial" w:cs="Arial"/>
          <w:sz w:val="22"/>
        </w:rPr>
        <w:t>Currently there is no regulated fee required to be paid.</w:t>
      </w:r>
    </w:p>
    <w:p w14:paraId="1CFEE478" w14:textId="5FD7C390" w:rsidR="007E0CA8" w:rsidRDefault="007E0CA8" w:rsidP="00A2445F">
      <w:pPr>
        <w:pStyle w:val="ListParagraph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Further clarifying information may be required before a decision is made. Failure to provide further requested information may result in the application being</w:t>
      </w:r>
      <w:r w:rsidR="00EC6DBB">
        <w:rPr>
          <w:rFonts w:ascii="Arial" w:hAnsi="Arial" w:cs="Arial"/>
          <w:sz w:val="22"/>
        </w:rPr>
        <w:t xml:space="preserve"> withdrawn</w:t>
      </w:r>
      <w:r w:rsidR="00EC6DBB">
        <w:rPr>
          <w:rStyle w:val="FootnoteReference"/>
          <w:rFonts w:ascii="Arial" w:hAnsi="Arial" w:cs="Arial"/>
          <w:sz w:val="22"/>
        </w:rPr>
        <w:footnoteReference w:id="1"/>
      </w:r>
      <w:r>
        <w:rPr>
          <w:rFonts w:ascii="Arial" w:hAnsi="Arial" w:cs="Arial"/>
          <w:sz w:val="22"/>
        </w:rPr>
        <w:t>.</w:t>
      </w:r>
    </w:p>
    <w:p w14:paraId="73765BED" w14:textId="638284D3" w:rsidR="0071248A" w:rsidRDefault="0071248A" w:rsidP="0071248A">
      <w:pPr>
        <w:rPr>
          <w:sz w:val="22"/>
        </w:rPr>
      </w:pPr>
    </w:p>
    <w:p w14:paraId="212E726A" w14:textId="77777777" w:rsidR="0071248A" w:rsidRPr="0071248A" w:rsidRDefault="0071248A" w:rsidP="0071248A">
      <w:pPr>
        <w:rPr>
          <w:sz w:val="22"/>
        </w:rPr>
      </w:pPr>
    </w:p>
    <w:p w14:paraId="4781814C" w14:textId="017DC2F2" w:rsidR="006D7C8A" w:rsidRPr="00B16EA1" w:rsidRDefault="00E4748C" w:rsidP="000D54F0">
      <w:pPr>
        <w:pStyle w:val="Heading2"/>
        <w:rPr>
          <w:szCs w:val="22"/>
        </w:rPr>
      </w:pPr>
      <w:r w:rsidRPr="00B16EA1">
        <w:rPr>
          <w:szCs w:val="22"/>
        </w:rPr>
        <w:t>PROCEDURE FOR RENEWAL OF APPLICATION</w:t>
      </w:r>
    </w:p>
    <w:p w14:paraId="7191FC54" w14:textId="5C66988B" w:rsidR="00E4748C" w:rsidRPr="00B16EA1" w:rsidRDefault="00E4748C" w:rsidP="00E4748C">
      <w:pPr>
        <w:pStyle w:val="ListParagraph"/>
        <w:numPr>
          <w:ilvl w:val="0"/>
          <w:numId w:val="25"/>
        </w:numPr>
        <w:rPr>
          <w:rFonts w:ascii="Arial" w:hAnsi="Arial" w:cs="Arial"/>
          <w:sz w:val="22"/>
        </w:rPr>
      </w:pPr>
      <w:r w:rsidRPr="00B16EA1">
        <w:rPr>
          <w:rFonts w:ascii="Arial" w:hAnsi="Arial" w:cs="Arial"/>
          <w:sz w:val="22"/>
        </w:rPr>
        <w:t>An application for renewal must be made to the Minister for renewal of the approval of the assessment scheme.</w:t>
      </w:r>
    </w:p>
    <w:p w14:paraId="7D9CE735" w14:textId="77FE2BDE" w:rsidR="00E4748C" w:rsidRPr="00B16EA1" w:rsidRDefault="00E4748C" w:rsidP="00E4748C">
      <w:pPr>
        <w:pStyle w:val="ListParagraph"/>
        <w:numPr>
          <w:ilvl w:val="0"/>
          <w:numId w:val="25"/>
        </w:numPr>
        <w:rPr>
          <w:rFonts w:ascii="Arial" w:hAnsi="Arial" w:cs="Arial"/>
          <w:sz w:val="22"/>
        </w:rPr>
      </w:pPr>
      <w:r w:rsidRPr="00B16EA1">
        <w:rPr>
          <w:rFonts w:ascii="Arial" w:hAnsi="Arial" w:cs="Arial"/>
          <w:sz w:val="22"/>
        </w:rPr>
        <w:t xml:space="preserve">The renewal application must be made at least 28 days </w:t>
      </w:r>
      <w:r w:rsidR="00EC6DBB">
        <w:rPr>
          <w:rFonts w:ascii="Arial" w:hAnsi="Arial" w:cs="Arial"/>
          <w:sz w:val="22"/>
        </w:rPr>
        <w:t>before the approval ends</w:t>
      </w:r>
      <w:r w:rsidRPr="00B16EA1">
        <w:rPr>
          <w:rFonts w:ascii="Arial" w:hAnsi="Arial" w:cs="Arial"/>
          <w:sz w:val="22"/>
        </w:rPr>
        <w:t>.</w:t>
      </w:r>
    </w:p>
    <w:p w14:paraId="088A2352" w14:textId="6CE5EE90" w:rsidR="00E4748C" w:rsidRPr="00B16EA1" w:rsidRDefault="00E4748C" w:rsidP="00E4748C">
      <w:pPr>
        <w:pStyle w:val="ListParagraph"/>
        <w:numPr>
          <w:ilvl w:val="0"/>
          <w:numId w:val="25"/>
        </w:numPr>
        <w:rPr>
          <w:rFonts w:ascii="Arial" w:hAnsi="Arial" w:cs="Arial"/>
          <w:sz w:val="22"/>
        </w:rPr>
      </w:pPr>
      <w:r w:rsidRPr="00B16EA1">
        <w:rPr>
          <w:rFonts w:ascii="Arial" w:hAnsi="Arial" w:cs="Arial"/>
          <w:sz w:val="22"/>
        </w:rPr>
        <w:t>The renewal application must be in the approved form</w:t>
      </w:r>
      <w:r w:rsidR="00EC6DBB">
        <w:rPr>
          <w:rFonts w:ascii="Arial" w:hAnsi="Arial" w:cs="Arial"/>
          <w:sz w:val="22"/>
        </w:rPr>
        <w:t>.</w:t>
      </w:r>
    </w:p>
    <w:p w14:paraId="4636ECD9" w14:textId="4BFE0186" w:rsidR="00A2445F" w:rsidRPr="00B16EA1" w:rsidRDefault="00E4748C" w:rsidP="00480D0F">
      <w:pPr>
        <w:pStyle w:val="ListParagraph"/>
        <w:numPr>
          <w:ilvl w:val="0"/>
          <w:numId w:val="25"/>
        </w:numPr>
        <w:rPr>
          <w:rFonts w:ascii="Arial" w:hAnsi="Arial" w:cs="Arial"/>
          <w:sz w:val="22"/>
        </w:rPr>
      </w:pPr>
      <w:r w:rsidRPr="00B16EA1">
        <w:rPr>
          <w:rFonts w:ascii="Arial" w:hAnsi="Arial" w:cs="Arial"/>
          <w:sz w:val="22"/>
        </w:rPr>
        <w:t>The application must be supported by enough information to be able to decide the application.</w:t>
      </w:r>
      <w:r w:rsidR="007E0CA8">
        <w:rPr>
          <w:rFonts w:ascii="Arial" w:hAnsi="Arial" w:cs="Arial"/>
          <w:sz w:val="22"/>
        </w:rPr>
        <w:t xml:space="preserve"> </w:t>
      </w:r>
      <w:r w:rsidR="007E0CA8" w:rsidRPr="00B16EA1">
        <w:rPr>
          <w:rFonts w:ascii="Arial" w:hAnsi="Arial" w:cs="Arial"/>
          <w:sz w:val="22"/>
        </w:rPr>
        <w:t xml:space="preserve">Further information </w:t>
      </w:r>
      <w:r w:rsidR="007E0CA8">
        <w:rPr>
          <w:rFonts w:ascii="Arial" w:hAnsi="Arial" w:cs="Arial"/>
          <w:sz w:val="22"/>
        </w:rPr>
        <w:t>will be made available to applicant’s upon request.</w:t>
      </w:r>
    </w:p>
    <w:p w14:paraId="498B7F81" w14:textId="7DA9DB4C" w:rsidR="00EC6DBB" w:rsidRDefault="00EC6DBB" w:rsidP="00480D0F">
      <w:pPr>
        <w:pStyle w:val="ListParagraph"/>
        <w:numPr>
          <w:ilvl w:val="0"/>
          <w:numId w:val="2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application must attach the proposed assessment scheme.</w:t>
      </w:r>
    </w:p>
    <w:p w14:paraId="03BD4D0A" w14:textId="6A8D4B37" w:rsidR="00E4748C" w:rsidRDefault="00A2445F" w:rsidP="00480D0F">
      <w:pPr>
        <w:pStyle w:val="ListParagraph"/>
        <w:numPr>
          <w:ilvl w:val="0"/>
          <w:numId w:val="25"/>
        </w:numPr>
        <w:rPr>
          <w:rFonts w:ascii="Arial" w:hAnsi="Arial" w:cs="Arial"/>
          <w:sz w:val="22"/>
        </w:rPr>
      </w:pPr>
      <w:r w:rsidRPr="00B16EA1">
        <w:rPr>
          <w:rFonts w:ascii="Arial" w:hAnsi="Arial" w:cs="Arial"/>
          <w:sz w:val="22"/>
        </w:rPr>
        <w:t>Currently there is no regulated fee required to be paid.</w:t>
      </w:r>
    </w:p>
    <w:p w14:paraId="5775AC38" w14:textId="013AB6D6" w:rsidR="007E0CA8" w:rsidRPr="00B16EA1" w:rsidRDefault="007E0CA8" w:rsidP="00480D0F">
      <w:pPr>
        <w:pStyle w:val="ListParagraph"/>
        <w:numPr>
          <w:ilvl w:val="0"/>
          <w:numId w:val="2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Further clarifying information may be required before a decision is made. Failure to provide further requested information may result in the application being </w:t>
      </w:r>
      <w:r w:rsidR="00EC6DBB">
        <w:rPr>
          <w:rFonts w:ascii="Arial" w:hAnsi="Arial" w:cs="Arial"/>
          <w:sz w:val="22"/>
        </w:rPr>
        <w:t>withdrawn</w:t>
      </w:r>
      <w:r w:rsidR="00EC6DBB">
        <w:rPr>
          <w:rStyle w:val="FootnoteReference"/>
          <w:rFonts w:ascii="Arial" w:hAnsi="Arial" w:cs="Arial"/>
          <w:sz w:val="22"/>
        </w:rPr>
        <w:footnoteReference w:id="2"/>
      </w:r>
      <w:r>
        <w:rPr>
          <w:rFonts w:ascii="Arial" w:hAnsi="Arial" w:cs="Arial"/>
          <w:sz w:val="22"/>
        </w:rPr>
        <w:t>.</w:t>
      </w:r>
    </w:p>
    <w:p w14:paraId="54CE46FD" w14:textId="171261D0" w:rsidR="00E4748C" w:rsidRDefault="009C5D0C" w:rsidP="000D54F0">
      <w:pPr>
        <w:pStyle w:val="Heading2"/>
      </w:pPr>
      <w:r>
        <w:t>POLICY CONSIDERATIONS</w:t>
      </w:r>
    </w:p>
    <w:p w14:paraId="0344356C" w14:textId="54D98CD6" w:rsidR="007E0CA8" w:rsidRDefault="007E0CA8" w:rsidP="009C5D0C">
      <w:pPr>
        <w:rPr>
          <w:sz w:val="22"/>
          <w:szCs w:val="24"/>
        </w:rPr>
      </w:pPr>
      <w:r>
        <w:rPr>
          <w:sz w:val="22"/>
          <w:szCs w:val="24"/>
        </w:rPr>
        <w:t xml:space="preserve">Upon receipt of the application, the Board will appoint a </w:t>
      </w:r>
      <w:r w:rsidR="00EC6DBB">
        <w:rPr>
          <w:sz w:val="22"/>
          <w:szCs w:val="24"/>
        </w:rPr>
        <w:t>S</w:t>
      </w:r>
      <w:r>
        <w:rPr>
          <w:sz w:val="22"/>
          <w:szCs w:val="24"/>
        </w:rPr>
        <w:t>ub-Committee that will consider the merits of the application.</w:t>
      </w:r>
    </w:p>
    <w:p w14:paraId="1891FDD5" w14:textId="5686D985" w:rsidR="009C5D0C" w:rsidRDefault="009C5D0C" w:rsidP="009C5D0C">
      <w:pPr>
        <w:rPr>
          <w:sz w:val="22"/>
          <w:szCs w:val="24"/>
        </w:rPr>
      </w:pPr>
      <w:r w:rsidRPr="00A2445F">
        <w:rPr>
          <w:sz w:val="22"/>
          <w:szCs w:val="24"/>
        </w:rPr>
        <w:t xml:space="preserve">In considering whether </w:t>
      </w:r>
      <w:r w:rsidR="00A2445F">
        <w:rPr>
          <w:sz w:val="22"/>
          <w:szCs w:val="24"/>
        </w:rPr>
        <w:t xml:space="preserve">to recommend that that an assessment entity be approved, the </w:t>
      </w:r>
      <w:r w:rsidR="00EC6DBB">
        <w:rPr>
          <w:sz w:val="22"/>
          <w:szCs w:val="24"/>
        </w:rPr>
        <w:t>S</w:t>
      </w:r>
      <w:r w:rsidR="00A2445F">
        <w:rPr>
          <w:sz w:val="22"/>
          <w:szCs w:val="24"/>
        </w:rPr>
        <w:t>ub-Committee of the Board will, in addition to the application itself, have regard to:</w:t>
      </w:r>
    </w:p>
    <w:p w14:paraId="69E06CE0" w14:textId="0C2EF54B" w:rsidR="00A2445F" w:rsidRPr="00B16EA1" w:rsidRDefault="00A2445F" w:rsidP="00A2445F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4"/>
        </w:rPr>
      </w:pPr>
      <w:r w:rsidRPr="00B16EA1">
        <w:rPr>
          <w:rFonts w:ascii="Arial" w:hAnsi="Arial" w:cs="Arial"/>
          <w:sz w:val="22"/>
          <w:szCs w:val="24"/>
        </w:rPr>
        <w:t xml:space="preserve">The </w:t>
      </w:r>
      <w:r w:rsidR="00E041DE" w:rsidRPr="00B16EA1">
        <w:rPr>
          <w:rFonts w:ascii="Arial" w:hAnsi="Arial" w:cs="Arial"/>
          <w:sz w:val="22"/>
          <w:szCs w:val="24"/>
        </w:rPr>
        <w:t>discipline</w:t>
      </w:r>
      <w:r w:rsidR="007E0CA8">
        <w:rPr>
          <w:rFonts w:ascii="Arial" w:hAnsi="Arial" w:cs="Arial"/>
          <w:sz w:val="22"/>
          <w:szCs w:val="24"/>
        </w:rPr>
        <w:t>/</w:t>
      </w:r>
      <w:r w:rsidR="00E041DE" w:rsidRPr="00B16EA1">
        <w:rPr>
          <w:rFonts w:ascii="Arial" w:hAnsi="Arial" w:cs="Arial"/>
          <w:sz w:val="22"/>
          <w:szCs w:val="24"/>
        </w:rPr>
        <w:t>s of engineering for which the application relates;</w:t>
      </w:r>
    </w:p>
    <w:p w14:paraId="19DE68B7" w14:textId="490654DE" w:rsidR="00A2445F" w:rsidRPr="00B16EA1" w:rsidRDefault="00A2445F" w:rsidP="00A2445F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4"/>
        </w:rPr>
      </w:pPr>
      <w:r w:rsidRPr="00B16EA1">
        <w:rPr>
          <w:rFonts w:ascii="Arial" w:hAnsi="Arial" w:cs="Arial"/>
          <w:sz w:val="22"/>
          <w:szCs w:val="24"/>
        </w:rPr>
        <w:t xml:space="preserve">The number of current assessment entities </w:t>
      </w:r>
      <w:r w:rsidR="00E041DE" w:rsidRPr="00B16EA1">
        <w:rPr>
          <w:rFonts w:ascii="Arial" w:hAnsi="Arial" w:cs="Arial"/>
          <w:sz w:val="22"/>
          <w:szCs w:val="24"/>
        </w:rPr>
        <w:t>providing an assessment scheme for the discipline/s of engineering;</w:t>
      </w:r>
    </w:p>
    <w:p w14:paraId="6D8601F7" w14:textId="3C80EE02" w:rsidR="00E041DE" w:rsidRPr="00B16EA1" w:rsidRDefault="00E041DE" w:rsidP="00A2445F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4"/>
        </w:rPr>
      </w:pPr>
      <w:r w:rsidRPr="00B16EA1">
        <w:rPr>
          <w:rFonts w:ascii="Arial" w:hAnsi="Arial" w:cs="Arial"/>
          <w:sz w:val="22"/>
          <w:szCs w:val="24"/>
        </w:rPr>
        <w:t xml:space="preserve">The nature of the organisation seeking to become an assessment entity </w:t>
      </w:r>
      <w:r w:rsidR="00EC6DBB">
        <w:rPr>
          <w:rFonts w:ascii="Arial" w:hAnsi="Arial" w:cs="Arial"/>
          <w:sz w:val="22"/>
          <w:szCs w:val="24"/>
        </w:rPr>
        <w:t>(</w:t>
      </w:r>
      <w:r w:rsidRPr="00B16EA1">
        <w:rPr>
          <w:rFonts w:ascii="Arial" w:hAnsi="Arial" w:cs="Arial"/>
          <w:sz w:val="22"/>
          <w:szCs w:val="24"/>
        </w:rPr>
        <w:t>eg professional membership, not for profit, commercial enterprise</w:t>
      </w:r>
      <w:r w:rsidR="00EC6DBB">
        <w:rPr>
          <w:rFonts w:ascii="Arial" w:hAnsi="Arial" w:cs="Arial"/>
          <w:sz w:val="22"/>
          <w:szCs w:val="24"/>
        </w:rPr>
        <w:t>)</w:t>
      </w:r>
      <w:r w:rsidR="007E0CA8">
        <w:rPr>
          <w:rFonts w:ascii="Arial" w:hAnsi="Arial" w:cs="Arial"/>
          <w:sz w:val="22"/>
          <w:szCs w:val="24"/>
        </w:rPr>
        <w:t>.</w:t>
      </w:r>
    </w:p>
    <w:p w14:paraId="677BD18C" w14:textId="09CF3A23" w:rsidR="00E041DE" w:rsidRDefault="00E041DE" w:rsidP="00E041DE">
      <w:pPr>
        <w:rPr>
          <w:sz w:val="22"/>
          <w:szCs w:val="24"/>
        </w:rPr>
      </w:pPr>
    </w:p>
    <w:p w14:paraId="2EC4483F" w14:textId="77777777" w:rsidR="000D54F0" w:rsidRPr="00C34CD4" w:rsidRDefault="000D54F0" w:rsidP="000D54F0">
      <w:pPr>
        <w:pStyle w:val="Heading2"/>
      </w:pPr>
      <w:r w:rsidRPr="00C34CD4">
        <w:t>REFERENCES</w:t>
      </w:r>
    </w:p>
    <w:p w14:paraId="3B14568E" w14:textId="77777777" w:rsidR="000D54F0" w:rsidRPr="00092368" w:rsidRDefault="000D54F0" w:rsidP="000D54F0">
      <w:pPr>
        <w:rPr>
          <w:sz w:val="22"/>
          <w:szCs w:val="22"/>
        </w:rPr>
      </w:pPr>
      <w:r w:rsidRPr="00092368">
        <w:rPr>
          <w:sz w:val="22"/>
          <w:szCs w:val="22"/>
        </w:rPr>
        <w:t>Related legislation:</w:t>
      </w:r>
    </w:p>
    <w:p w14:paraId="16494BDF" w14:textId="64E7E3B6" w:rsidR="000D54F0" w:rsidRPr="00092368" w:rsidRDefault="000D54F0" w:rsidP="000D54F0">
      <w:pPr>
        <w:pStyle w:val="ListParagraph"/>
        <w:numPr>
          <w:ilvl w:val="0"/>
          <w:numId w:val="27"/>
        </w:numPr>
        <w:rPr>
          <w:rFonts w:ascii="Arial" w:hAnsi="Arial" w:cs="Arial"/>
          <w:sz w:val="22"/>
        </w:rPr>
      </w:pPr>
      <w:r w:rsidRPr="0024432A">
        <w:rPr>
          <w:rFonts w:ascii="Arial" w:hAnsi="Arial" w:cs="Arial"/>
          <w:i/>
          <w:iCs/>
          <w:sz w:val="22"/>
        </w:rPr>
        <w:t>Professional Engineers Act 2002</w:t>
      </w:r>
      <w:r w:rsidRPr="00092368">
        <w:rPr>
          <w:rFonts w:ascii="Arial" w:hAnsi="Arial" w:cs="Arial"/>
          <w:sz w:val="22"/>
        </w:rPr>
        <w:t xml:space="preserve"> (Qld): </w:t>
      </w:r>
      <w:r>
        <w:rPr>
          <w:rFonts w:ascii="Arial" w:hAnsi="Arial" w:cs="Arial"/>
          <w:sz w:val="22"/>
        </w:rPr>
        <w:t>Part 6A</w:t>
      </w:r>
    </w:p>
    <w:p w14:paraId="14F06C07" w14:textId="77777777" w:rsidR="000D54F0" w:rsidRPr="00092368" w:rsidRDefault="000D54F0" w:rsidP="000D54F0">
      <w:pPr>
        <w:rPr>
          <w:sz w:val="22"/>
          <w:szCs w:val="22"/>
        </w:rPr>
      </w:pPr>
      <w:r w:rsidRPr="00092368">
        <w:rPr>
          <w:sz w:val="22"/>
          <w:szCs w:val="22"/>
        </w:rPr>
        <w:t>Other Relevant Information:</w:t>
      </w:r>
    </w:p>
    <w:p w14:paraId="666CFCFE" w14:textId="513564B9" w:rsidR="000D54F0" w:rsidRPr="00B37105" w:rsidRDefault="00EC6DBB" w:rsidP="000D54F0">
      <w:pPr>
        <w:pStyle w:val="ListParagraph"/>
        <w:numPr>
          <w:ilvl w:val="0"/>
          <w:numId w:val="27"/>
        </w:numPr>
      </w:pPr>
      <w:r>
        <w:rPr>
          <w:rFonts w:ascii="Arial" w:hAnsi="Arial" w:cs="Arial"/>
          <w:sz w:val="22"/>
        </w:rPr>
        <w:t>Instructions for Applying for Approval, Renewal or Variation of an Assessment Scheme</w:t>
      </w:r>
    </w:p>
    <w:p w14:paraId="6DF60EFB" w14:textId="78415711" w:rsidR="00EC6DBB" w:rsidRDefault="00EC6DBB" w:rsidP="00E041DE">
      <w:pPr>
        <w:rPr>
          <w:sz w:val="22"/>
          <w:szCs w:val="24"/>
        </w:rPr>
      </w:pPr>
    </w:p>
    <w:p w14:paraId="7DB61458" w14:textId="77777777" w:rsidR="00EC6DBB" w:rsidRDefault="00EC6DBB">
      <w:pPr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6C1C2211" w14:textId="77777777" w:rsidR="00EC6DBB" w:rsidRPr="0095206F" w:rsidRDefault="00EC6DBB" w:rsidP="00EC6DBB">
      <w:pPr>
        <w:pStyle w:val="Heading2"/>
        <w:rPr>
          <w:color w:val="00B8D6"/>
        </w:rPr>
      </w:pPr>
      <w:r w:rsidRPr="0095206F">
        <w:lastRenderedPageBreak/>
        <w:t>ATTACHMENT 1 – DEFINITIONS</w:t>
      </w: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61"/>
        <w:gridCol w:w="7117"/>
      </w:tblGrid>
      <w:tr w:rsidR="00EC6DBB" w:rsidRPr="0095206F" w14:paraId="680D54FA" w14:textId="77777777" w:rsidTr="00AF6A75">
        <w:tc>
          <w:tcPr>
            <w:tcW w:w="0" w:type="auto"/>
            <w:shd w:val="clear" w:color="auto" w:fill="E7E6E6" w:themeFill="background2"/>
          </w:tcPr>
          <w:p w14:paraId="0E53C5B6" w14:textId="77777777" w:rsidR="00EC6DBB" w:rsidRPr="0095206F" w:rsidRDefault="00EC6DBB" w:rsidP="00AF6A75">
            <w:pPr>
              <w:rPr>
                <w:sz w:val="22"/>
                <w:szCs w:val="22"/>
              </w:rPr>
            </w:pPr>
            <w:r w:rsidRPr="0095206F">
              <w:rPr>
                <w:sz w:val="22"/>
                <w:szCs w:val="22"/>
              </w:rPr>
              <w:t xml:space="preserve">Term </w:t>
            </w:r>
          </w:p>
        </w:tc>
        <w:tc>
          <w:tcPr>
            <w:tcW w:w="7117" w:type="dxa"/>
            <w:shd w:val="clear" w:color="auto" w:fill="E7E6E6" w:themeFill="background2"/>
          </w:tcPr>
          <w:p w14:paraId="3ED4A15F" w14:textId="77777777" w:rsidR="00EC6DBB" w:rsidRPr="0095206F" w:rsidRDefault="00EC6DBB" w:rsidP="00AF6A75">
            <w:pPr>
              <w:rPr>
                <w:sz w:val="22"/>
                <w:szCs w:val="22"/>
              </w:rPr>
            </w:pPr>
            <w:r w:rsidRPr="0095206F">
              <w:rPr>
                <w:sz w:val="22"/>
                <w:szCs w:val="22"/>
              </w:rPr>
              <w:t xml:space="preserve">Description </w:t>
            </w:r>
          </w:p>
          <w:p w14:paraId="7E3F9392" w14:textId="77777777" w:rsidR="00EC6DBB" w:rsidRPr="0095206F" w:rsidRDefault="00EC6DBB" w:rsidP="00AF6A75">
            <w:pPr>
              <w:rPr>
                <w:sz w:val="22"/>
                <w:szCs w:val="22"/>
              </w:rPr>
            </w:pPr>
          </w:p>
        </w:tc>
      </w:tr>
      <w:tr w:rsidR="00EC6DBB" w:rsidRPr="0095206F" w14:paraId="50EDC12C" w14:textId="77777777" w:rsidTr="00AF6A75">
        <w:trPr>
          <w:trHeight w:val="469"/>
        </w:trPr>
        <w:tc>
          <w:tcPr>
            <w:tcW w:w="0" w:type="auto"/>
          </w:tcPr>
          <w:p w14:paraId="6281EE48" w14:textId="1BE97E4D" w:rsidR="00EC6DBB" w:rsidRPr="00977062" w:rsidRDefault="00EC6DBB" w:rsidP="00AF6A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Assessment </w:t>
            </w:r>
            <w:r w:rsidR="00092F58">
              <w:rPr>
                <w:b/>
                <w:bCs/>
                <w:sz w:val="22"/>
                <w:szCs w:val="22"/>
              </w:rPr>
              <w:t>Scheme</w:t>
            </w:r>
          </w:p>
        </w:tc>
        <w:tc>
          <w:tcPr>
            <w:tcW w:w="7117" w:type="dxa"/>
          </w:tcPr>
          <w:p w14:paraId="2D9F3CD7" w14:textId="525C7E6B" w:rsidR="00EC6DBB" w:rsidRPr="00092F58" w:rsidRDefault="00092F58" w:rsidP="00AF6A75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scheme approved under part 6A of the </w:t>
            </w:r>
            <w:r>
              <w:rPr>
                <w:i/>
                <w:iCs/>
                <w:sz w:val="22"/>
                <w:szCs w:val="22"/>
              </w:rPr>
              <w:t>Professional Engineers Act 2002.</w:t>
            </w:r>
          </w:p>
        </w:tc>
      </w:tr>
      <w:tr w:rsidR="00092F58" w:rsidRPr="0095206F" w14:paraId="613C76D7" w14:textId="77777777" w:rsidTr="00AF6A75">
        <w:trPr>
          <w:trHeight w:val="469"/>
        </w:trPr>
        <w:tc>
          <w:tcPr>
            <w:tcW w:w="0" w:type="auto"/>
          </w:tcPr>
          <w:p w14:paraId="41E17867" w14:textId="0BE174A0" w:rsidR="00092F58" w:rsidRDefault="00092F58" w:rsidP="00092F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Assessment Entity</w:t>
            </w:r>
          </w:p>
        </w:tc>
        <w:tc>
          <w:tcPr>
            <w:tcW w:w="7117" w:type="dxa"/>
          </w:tcPr>
          <w:p w14:paraId="01D4F15F" w14:textId="1009E0FA" w:rsidR="00092F58" w:rsidRDefault="00092F58" w:rsidP="00092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relation to an assessment scheme, the entity for which the scheme was approved.</w:t>
            </w:r>
          </w:p>
        </w:tc>
      </w:tr>
      <w:tr w:rsidR="0071248A" w:rsidRPr="0095206F" w14:paraId="40359343" w14:textId="77777777" w:rsidTr="00AF6A75">
        <w:trPr>
          <w:trHeight w:val="469"/>
        </w:trPr>
        <w:tc>
          <w:tcPr>
            <w:tcW w:w="0" w:type="auto"/>
          </w:tcPr>
          <w:p w14:paraId="193E8A15" w14:textId="01CBB896" w:rsidR="0071248A" w:rsidRDefault="0071248A" w:rsidP="00092F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Minister</w:t>
            </w:r>
          </w:p>
        </w:tc>
        <w:tc>
          <w:tcPr>
            <w:tcW w:w="7117" w:type="dxa"/>
          </w:tcPr>
          <w:p w14:paraId="0F4409B8" w14:textId="278CE1C6" w:rsidR="0071248A" w:rsidRDefault="00914BD2" w:rsidP="00092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Minister for Public Works</w:t>
            </w:r>
            <w:r w:rsidR="00DD35DE">
              <w:rPr>
                <w:sz w:val="22"/>
                <w:szCs w:val="22"/>
              </w:rPr>
              <w:t xml:space="preserve"> and Procurement.</w:t>
            </w:r>
            <w:bookmarkStart w:id="0" w:name="_GoBack"/>
            <w:bookmarkEnd w:id="0"/>
          </w:p>
        </w:tc>
      </w:tr>
    </w:tbl>
    <w:p w14:paraId="0C00E077" w14:textId="77777777" w:rsidR="00EC6DBB" w:rsidRPr="007E794A" w:rsidRDefault="00EC6DBB" w:rsidP="00EC6DBB"/>
    <w:p w14:paraId="18AFDA9F" w14:textId="77777777" w:rsidR="00EC6DBB" w:rsidRPr="00CD42E3" w:rsidRDefault="00EC6DBB" w:rsidP="00EC6DBB">
      <w:pPr>
        <w:pStyle w:val="Title"/>
      </w:pPr>
    </w:p>
    <w:p w14:paraId="4A71511B" w14:textId="77777777" w:rsidR="007E0CA8" w:rsidRPr="00B16EA1" w:rsidRDefault="007E0CA8" w:rsidP="00E041DE">
      <w:pPr>
        <w:rPr>
          <w:sz w:val="22"/>
          <w:szCs w:val="24"/>
        </w:rPr>
      </w:pPr>
    </w:p>
    <w:sectPr w:rsidR="007E0CA8" w:rsidRPr="00B16EA1" w:rsidSect="00BD5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3" w:bottom="1440" w:left="1985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05D65" w14:textId="77777777" w:rsidR="0012422C" w:rsidRDefault="0012422C" w:rsidP="00877BB1">
      <w:r>
        <w:separator/>
      </w:r>
    </w:p>
    <w:p w14:paraId="13DBBFEA" w14:textId="77777777" w:rsidR="0012422C" w:rsidRDefault="0012422C" w:rsidP="00877BB1"/>
  </w:endnote>
  <w:endnote w:type="continuationSeparator" w:id="0">
    <w:p w14:paraId="680F06DA" w14:textId="77777777" w:rsidR="0012422C" w:rsidRDefault="0012422C" w:rsidP="00877BB1">
      <w:r>
        <w:continuationSeparator/>
      </w:r>
    </w:p>
    <w:p w14:paraId="2386D833" w14:textId="77777777" w:rsidR="0012422C" w:rsidRDefault="0012422C" w:rsidP="00877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Semibold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ta Correspondence Pro">
    <w:panose1 w:val="00000000000000000000"/>
    <w:charset w:val="00"/>
    <w:family w:val="swiss"/>
    <w:notTrueType/>
    <w:pitch w:val="variable"/>
    <w:sig w:usb0="A00002FF" w:usb1="4000E4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95C83" w14:textId="77777777" w:rsidR="00181DA0" w:rsidRDefault="00181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4141" w14:textId="5DAE4AE0" w:rsidR="005F052D" w:rsidRPr="00877BB1" w:rsidRDefault="008511D9" w:rsidP="00877BB1">
    <w:pPr>
      <w:rPr>
        <w:sz w:val="20"/>
        <w:szCs w:val="22"/>
      </w:rPr>
    </w:pPr>
    <w:r>
      <w:rPr>
        <w:sz w:val="20"/>
        <w:szCs w:val="22"/>
      </w:rPr>
      <w:t>Assessment Entity</w:t>
    </w:r>
    <w:r w:rsidR="00DF2AB6">
      <w:rPr>
        <w:sz w:val="20"/>
        <w:szCs w:val="22"/>
      </w:rPr>
      <w:t xml:space="preserve"> Policy</w:t>
    </w:r>
    <w:r w:rsidR="005F052D" w:rsidRPr="00877BB1">
      <w:rPr>
        <w:sz w:val="20"/>
        <w:szCs w:val="22"/>
      </w:rPr>
      <w:ptab w:relativeTo="margin" w:alignment="center" w:leader="none"/>
    </w:r>
    <w:r w:rsidR="006D7C8A" w:rsidRPr="00877BB1">
      <w:rPr>
        <w:sz w:val="20"/>
        <w:szCs w:val="22"/>
      </w:rPr>
      <w:t xml:space="preserve"> </w:t>
    </w:r>
    <w:r w:rsidR="00DF2AB6">
      <w:rPr>
        <w:sz w:val="20"/>
        <w:szCs w:val="22"/>
      </w:rPr>
      <w:t>Version 1 (October 2020)</w:t>
    </w:r>
    <w:r w:rsidR="005F052D" w:rsidRPr="00877BB1">
      <w:rPr>
        <w:sz w:val="20"/>
        <w:szCs w:val="22"/>
      </w:rPr>
      <w:ptab w:relativeTo="margin" w:alignment="right" w:leader="none"/>
    </w:r>
    <w:r w:rsidR="005F052D" w:rsidRPr="00877BB1">
      <w:rPr>
        <w:sz w:val="20"/>
        <w:szCs w:val="22"/>
      </w:rPr>
      <w:t xml:space="preserve"> </w:t>
    </w:r>
    <w:r w:rsidR="005F052D" w:rsidRPr="00877BB1">
      <w:rPr>
        <w:sz w:val="20"/>
        <w:szCs w:val="22"/>
      </w:rPr>
      <w:fldChar w:fldCharType="begin"/>
    </w:r>
    <w:r w:rsidR="005F052D" w:rsidRPr="00877BB1">
      <w:rPr>
        <w:sz w:val="20"/>
        <w:szCs w:val="22"/>
      </w:rPr>
      <w:instrText xml:space="preserve"> PAGE  \* Arabic  \* MERGEFORMAT </w:instrText>
    </w:r>
    <w:r w:rsidR="005F052D" w:rsidRPr="00877BB1">
      <w:rPr>
        <w:sz w:val="20"/>
        <w:szCs w:val="22"/>
      </w:rPr>
      <w:fldChar w:fldCharType="separate"/>
    </w:r>
    <w:r w:rsidR="005F052D" w:rsidRPr="00877BB1">
      <w:rPr>
        <w:sz w:val="20"/>
        <w:szCs w:val="22"/>
      </w:rPr>
      <w:t>1</w:t>
    </w:r>
    <w:r w:rsidR="005F052D" w:rsidRPr="00877BB1">
      <w:rPr>
        <w:sz w:val="20"/>
        <w:szCs w:val="22"/>
      </w:rPr>
      <w:fldChar w:fldCharType="end"/>
    </w:r>
    <w:r w:rsidR="005F052D" w:rsidRPr="00877BB1">
      <w:rPr>
        <w:sz w:val="20"/>
        <w:szCs w:val="22"/>
      </w:rPr>
      <w:t xml:space="preserve"> of </w:t>
    </w:r>
    <w:r w:rsidR="005F052D" w:rsidRPr="00877BB1">
      <w:rPr>
        <w:sz w:val="20"/>
        <w:szCs w:val="22"/>
      </w:rPr>
      <w:fldChar w:fldCharType="begin"/>
    </w:r>
    <w:r w:rsidR="005F052D" w:rsidRPr="00877BB1">
      <w:rPr>
        <w:sz w:val="20"/>
        <w:szCs w:val="22"/>
      </w:rPr>
      <w:instrText xml:space="preserve"> NUMPAGES  \* Arabic  \* MERGEFORMAT </w:instrText>
    </w:r>
    <w:r w:rsidR="005F052D" w:rsidRPr="00877BB1">
      <w:rPr>
        <w:sz w:val="20"/>
        <w:szCs w:val="22"/>
      </w:rPr>
      <w:fldChar w:fldCharType="separate"/>
    </w:r>
    <w:r w:rsidR="005F052D" w:rsidRPr="00877BB1">
      <w:rPr>
        <w:sz w:val="20"/>
        <w:szCs w:val="22"/>
      </w:rPr>
      <w:t>2</w:t>
    </w:r>
    <w:r w:rsidR="005F052D" w:rsidRPr="00877BB1">
      <w:rPr>
        <w:sz w:val="20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47A39" w14:textId="77777777" w:rsidR="00181DA0" w:rsidRDefault="00181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CA1FD" w14:textId="77777777" w:rsidR="0012422C" w:rsidRDefault="0012422C" w:rsidP="00877BB1">
      <w:r>
        <w:separator/>
      </w:r>
    </w:p>
    <w:p w14:paraId="1E5F52A9" w14:textId="77777777" w:rsidR="0012422C" w:rsidRDefault="0012422C" w:rsidP="00877BB1"/>
  </w:footnote>
  <w:footnote w:type="continuationSeparator" w:id="0">
    <w:p w14:paraId="0468FF7F" w14:textId="77777777" w:rsidR="0012422C" w:rsidRDefault="0012422C" w:rsidP="00877BB1">
      <w:r>
        <w:continuationSeparator/>
      </w:r>
    </w:p>
    <w:p w14:paraId="4B1E5FD0" w14:textId="77777777" w:rsidR="0012422C" w:rsidRDefault="0012422C" w:rsidP="00877BB1"/>
  </w:footnote>
  <w:footnote w:id="1">
    <w:p w14:paraId="63FBAB8D" w14:textId="24E7F469" w:rsidR="00EC6DBB" w:rsidRPr="00EC6DBB" w:rsidRDefault="00EC6DBB">
      <w:pPr>
        <w:pStyle w:val="FootnoteText"/>
        <w:rPr>
          <w:sz w:val="12"/>
          <w:szCs w:val="12"/>
        </w:rPr>
      </w:pPr>
      <w:r w:rsidRPr="00EC6DBB">
        <w:rPr>
          <w:rStyle w:val="FootnoteReference"/>
          <w:sz w:val="12"/>
          <w:szCs w:val="12"/>
        </w:rPr>
        <w:footnoteRef/>
      </w:r>
      <w:r w:rsidRPr="00EC6DBB">
        <w:rPr>
          <w:sz w:val="12"/>
          <w:szCs w:val="12"/>
        </w:rPr>
        <w:t xml:space="preserve"> </w:t>
      </w:r>
      <w:r w:rsidRPr="00EC6DBB">
        <w:rPr>
          <w:i/>
          <w:sz w:val="12"/>
          <w:szCs w:val="12"/>
        </w:rPr>
        <w:t>Professional Engineers Act 2002</w:t>
      </w:r>
      <w:r w:rsidRPr="00EC6DBB">
        <w:rPr>
          <w:sz w:val="12"/>
          <w:szCs w:val="12"/>
        </w:rPr>
        <w:t xml:space="preserve"> (Qld), section </w:t>
      </w:r>
      <w:r>
        <w:rPr>
          <w:sz w:val="12"/>
          <w:szCs w:val="12"/>
        </w:rPr>
        <w:t>112H(3)</w:t>
      </w:r>
    </w:p>
  </w:footnote>
  <w:footnote w:id="2">
    <w:p w14:paraId="4484E22B" w14:textId="77777777" w:rsidR="00EC6DBB" w:rsidRPr="00EC6DBB" w:rsidRDefault="00EC6DBB" w:rsidP="00EC6DBB">
      <w:pPr>
        <w:pStyle w:val="FootnoteText"/>
        <w:rPr>
          <w:sz w:val="12"/>
          <w:szCs w:val="12"/>
        </w:rPr>
      </w:pPr>
      <w:r w:rsidRPr="00EC6DBB">
        <w:rPr>
          <w:rStyle w:val="FootnoteReference"/>
          <w:sz w:val="12"/>
          <w:szCs w:val="12"/>
        </w:rPr>
        <w:footnoteRef/>
      </w:r>
      <w:r w:rsidRPr="00EC6DBB">
        <w:rPr>
          <w:sz w:val="12"/>
          <w:szCs w:val="12"/>
        </w:rPr>
        <w:t xml:space="preserve"> </w:t>
      </w:r>
      <w:r w:rsidRPr="00EC6DBB">
        <w:rPr>
          <w:i/>
          <w:sz w:val="12"/>
          <w:szCs w:val="12"/>
        </w:rPr>
        <w:t>Professional Engineers Act 2002</w:t>
      </w:r>
      <w:r w:rsidRPr="00EC6DBB">
        <w:rPr>
          <w:sz w:val="12"/>
          <w:szCs w:val="12"/>
        </w:rPr>
        <w:t xml:space="preserve"> (Qld), section </w:t>
      </w:r>
      <w:r>
        <w:rPr>
          <w:sz w:val="12"/>
          <w:szCs w:val="12"/>
        </w:rPr>
        <w:t>112H(3)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F94CD" w14:textId="77777777" w:rsidR="00181DA0" w:rsidRDefault="00181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AB98" w14:textId="26B055DD" w:rsidR="005F052D" w:rsidRDefault="002E6395" w:rsidP="00877BB1">
    <w:pPr>
      <w:pStyle w:val="Header"/>
    </w:pPr>
    <w:r>
      <w:drawing>
        <wp:anchor distT="0" distB="0" distL="114300" distR="114300" simplePos="0" relativeHeight="251657728" behindDoc="1" locked="0" layoutInCell="1" allowOverlap="1" wp14:anchorId="5318E856" wp14:editId="311DEA5C">
          <wp:simplePos x="0" y="0"/>
          <wp:positionH relativeFrom="page">
            <wp:posOffset>-9525</wp:posOffset>
          </wp:positionH>
          <wp:positionV relativeFrom="paragraph">
            <wp:posOffset>-325755</wp:posOffset>
          </wp:positionV>
          <wp:extent cx="7569003" cy="105930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317" cy="10594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CDB1" w14:textId="62F629F0" w:rsidR="005F052D" w:rsidRDefault="005F052D" w:rsidP="00877BB1">
    <w: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DCFA29B" wp14:editId="2C1759D1">
              <wp:simplePos x="0" y="0"/>
              <wp:positionH relativeFrom="column">
                <wp:posOffset>3404053</wp:posOffset>
              </wp:positionH>
              <wp:positionV relativeFrom="paragraph">
                <wp:posOffset>205740</wp:posOffset>
              </wp:positionV>
              <wp:extent cx="2360930" cy="2609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341009" w14:textId="0AF32DCF" w:rsidR="005F052D" w:rsidRPr="00BD576F" w:rsidRDefault="005F052D" w:rsidP="00877BB1">
                          <w:pPr>
                            <w:jc w:val="right"/>
                          </w:pPr>
                          <w:r w:rsidRPr="00BD576F">
                            <w:t xml:space="preserve">Print date: </w:t>
                          </w:r>
                          <w:r w:rsidRPr="00BD576F">
                            <w:fldChar w:fldCharType="begin"/>
                          </w:r>
                          <w:r w:rsidRPr="00BD576F">
                            <w:instrText xml:space="preserve"> DATE \@ "d MMMM yyyy" </w:instrText>
                          </w:r>
                          <w:r w:rsidRPr="00BD576F">
                            <w:fldChar w:fldCharType="separate"/>
                          </w:r>
                          <w:r w:rsidR="00DD35DE">
                            <w:t>16 November 2020</w:t>
                          </w:r>
                          <w:r w:rsidRPr="00BD576F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CFA2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8.05pt;margin-top:16.2pt;width:185.9pt;height:20.5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" stroked="f">
              <v:textbox>
                <w:txbxContent>
                  <w:p w14:paraId="53341009" w14:textId="0AF32DCF" w:rsidR="005F052D" w:rsidRPr="00BD576F" w:rsidRDefault="005F052D" w:rsidP="00877BB1">
                    <w:pPr>
                      <w:jc w:val="right"/>
                    </w:pPr>
                    <w:r w:rsidRPr="00BD576F">
                      <w:t xml:space="preserve">Print date: </w:t>
                    </w:r>
                    <w:r w:rsidRPr="00BD576F">
                      <w:fldChar w:fldCharType="begin"/>
                    </w:r>
                    <w:r w:rsidRPr="00BD576F">
                      <w:instrText xml:space="preserve"> DATE \@ "d MMMM yyyy" </w:instrText>
                    </w:r>
                    <w:r w:rsidRPr="00BD576F">
                      <w:fldChar w:fldCharType="separate"/>
                    </w:r>
                    <w:r w:rsidR="00DD35DE">
                      <w:t>16 November 2020</w:t>
                    </w:r>
                    <w:r w:rsidRPr="00BD576F"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326E" w14:textId="77777777" w:rsidR="00181DA0" w:rsidRDefault="00181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C16"/>
    <w:multiLevelType w:val="hybridMultilevel"/>
    <w:tmpl w:val="203055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5AB8"/>
    <w:multiLevelType w:val="hybridMultilevel"/>
    <w:tmpl w:val="08A275B8"/>
    <w:lvl w:ilvl="0" w:tplc="0C090001">
      <w:start w:val="1"/>
      <w:numFmt w:val="bullet"/>
      <w:lvlText w:val=""/>
      <w:lvlJc w:val="left"/>
      <w:pPr>
        <w:ind w:left="722" w:hanging="361"/>
      </w:pPr>
      <w:rPr>
        <w:rFonts w:ascii="Symbol" w:hAnsi="Symbol" w:hint="default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-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</w:abstractNum>
  <w:abstractNum w:abstractNumId="2" w15:restartNumberingAfterBreak="0">
    <w:nsid w:val="1121434D"/>
    <w:multiLevelType w:val="hybridMultilevel"/>
    <w:tmpl w:val="59E4F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2D97"/>
    <w:multiLevelType w:val="hybridMultilevel"/>
    <w:tmpl w:val="57FAA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B0BDB"/>
    <w:multiLevelType w:val="hybridMultilevel"/>
    <w:tmpl w:val="012AE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7C62"/>
    <w:multiLevelType w:val="hybridMultilevel"/>
    <w:tmpl w:val="5AB42D9C"/>
    <w:lvl w:ilvl="0" w:tplc="6CC06B2E">
      <w:numFmt w:val="bullet"/>
      <w:lvlText w:val=""/>
      <w:lvlJc w:val="left"/>
      <w:pPr>
        <w:ind w:left="2059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55C5394">
      <w:numFmt w:val="bullet"/>
      <w:lvlText w:val=""/>
      <w:lvlJc w:val="left"/>
      <w:pPr>
        <w:ind w:left="242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F9CE59E">
      <w:numFmt w:val="bullet"/>
      <w:lvlText w:val="•"/>
      <w:lvlJc w:val="left"/>
      <w:pPr>
        <w:ind w:left="3577" w:hanging="361"/>
      </w:pPr>
      <w:rPr>
        <w:rFonts w:hint="default"/>
      </w:rPr>
    </w:lvl>
    <w:lvl w:ilvl="3" w:tplc="6D8628AA">
      <w:numFmt w:val="bullet"/>
      <w:lvlText w:val="•"/>
      <w:lvlJc w:val="left"/>
      <w:pPr>
        <w:ind w:left="4724" w:hanging="361"/>
      </w:pPr>
      <w:rPr>
        <w:rFonts w:hint="default"/>
      </w:rPr>
    </w:lvl>
    <w:lvl w:ilvl="4" w:tplc="8C02A180">
      <w:numFmt w:val="bullet"/>
      <w:lvlText w:val="•"/>
      <w:lvlJc w:val="left"/>
      <w:pPr>
        <w:ind w:left="5872" w:hanging="361"/>
      </w:pPr>
      <w:rPr>
        <w:rFonts w:hint="default"/>
      </w:rPr>
    </w:lvl>
    <w:lvl w:ilvl="5" w:tplc="44C0E87E">
      <w:numFmt w:val="bullet"/>
      <w:lvlText w:val="•"/>
      <w:lvlJc w:val="left"/>
      <w:pPr>
        <w:ind w:left="7019" w:hanging="361"/>
      </w:pPr>
      <w:rPr>
        <w:rFonts w:hint="default"/>
      </w:rPr>
    </w:lvl>
    <w:lvl w:ilvl="6" w:tplc="C7FA6F34">
      <w:numFmt w:val="bullet"/>
      <w:lvlText w:val="•"/>
      <w:lvlJc w:val="left"/>
      <w:pPr>
        <w:ind w:left="8166" w:hanging="361"/>
      </w:pPr>
      <w:rPr>
        <w:rFonts w:hint="default"/>
      </w:rPr>
    </w:lvl>
    <w:lvl w:ilvl="7" w:tplc="C0B0AFE2">
      <w:numFmt w:val="bullet"/>
      <w:lvlText w:val="•"/>
      <w:lvlJc w:val="left"/>
      <w:pPr>
        <w:ind w:left="9314" w:hanging="361"/>
      </w:pPr>
      <w:rPr>
        <w:rFonts w:hint="default"/>
      </w:rPr>
    </w:lvl>
    <w:lvl w:ilvl="8" w:tplc="EF9CCC90">
      <w:numFmt w:val="bullet"/>
      <w:lvlText w:val="•"/>
      <w:lvlJc w:val="left"/>
      <w:pPr>
        <w:ind w:left="10461" w:hanging="361"/>
      </w:pPr>
      <w:rPr>
        <w:rFonts w:hint="default"/>
      </w:rPr>
    </w:lvl>
  </w:abstractNum>
  <w:abstractNum w:abstractNumId="6" w15:restartNumberingAfterBreak="0">
    <w:nsid w:val="1CE10FF5"/>
    <w:multiLevelType w:val="multilevel"/>
    <w:tmpl w:val="D880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9480D"/>
    <w:multiLevelType w:val="hybridMultilevel"/>
    <w:tmpl w:val="E3609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15F27"/>
    <w:multiLevelType w:val="hybridMultilevel"/>
    <w:tmpl w:val="387C5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765DB"/>
    <w:multiLevelType w:val="hybridMultilevel"/>
    <w:tmpl w:val="E2A46ECA"/>
    <w:lvl w:ilvl="0" w:tplc="DE4CB5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C20BB"/>
    <w:multiLevelType w:val="hybridMultilevel"/>
    <w:tmpl w:val="3912DC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476CB"/>
    <w:multiLevelType w:val="hybridMultilevel"/>
    <w:tmpl w:val="46CC6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14684"/>
    <w:multiLevelType w:val="hybridMultilevel"/>
    <w:tmpl w:val="10E0D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653E0"/>
    <w:multiLevelType w:val="hybridMultilevel"/>
    <w:tmpl w:val="D7E0535C"/>
    <w:lvl w:ilvl="0" w:tplc="19DED368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9406BD6"/>
    <w:multiLevelType w:val="hybridMultilevel"/>
    <w:tmpl w:val="8556D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2766F"/>
    <w:multiLevelType w:val="hybridMultilevel"/>
    <w:tmpl w:val="13224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408BC"/>
    <w:multiLevelType w:val="hybridMultilevel"/>
    <w:tmpl w:val="A9629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34D50"/>
    <w:multiLevelType w:val="hybridMultilevel"/>
    <w:tmpl w:val="533CA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568A8"/>
    <w:multiLevelType w:val="hybridMultilevel"/>
    <w:tmpl w:val="C93E03D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D522D"/>
    <w:multiLevelType w:val="hybridMultilevel"/>
    <w:tmpl w:val="13224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504F"/>
    <w:multiLevelType w:val="hybridMultilevel"/>
    <w:tmpl w:val="4D228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01613"/>
    <w:multiLevelType w:val="multilevel"/>
    <w:tmpl w:val="FB3C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AF3181"/>
    <w:multiLevelType w:val="hybridMultilevel"/>
    <w:tmpl w:val="97EE3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613E9"/>
    <w:multiLevelType w:val="hybridMultilevel"/>
    <w:tmpl w:val="F3825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51D4F"/>
    <w:multiLevelType w:val="hybridMultilevel"/>
    <w:tmpl w:val="411C5916"/>
    <w:lvl w:ilvl="0" w:tplc="455C5394">
      <w:numFmt w:val="bullet"/>
      <w:lvlText w:val=""/>
      <w:lvlJc w:val="left"/>
      <w:pPr>
        <w:ind w:left="36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785D4C84"/>
    <w:multiLevelType w:val="hybridMultilevel"/>
    <w:tmpl w:val="37320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394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E34CC"/>
    <w:multiLevelType w:val="hybridMultilevel"/>
    <w:tmpl w:val="7F94D1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2"/>
  </w:num>
  <w:num w:numId="4">
    <w:abstractNumId w:val="24"/>
  </w:num>
  <w:num w:numId="5">
    <w:abstractNumId w:val="1"/>
  </w:num>
  <w:num w:numId="6">
    <w:abstractNumId w:val="14"/>
  </w:num>
  <w:num w:numId="7">
    <w:abstractNumId w:val="7"/>
  </w:num>
  <w:num w:numId="8">
    <w:abstractNumId w:val="25"/>
  </w:num>
  <w:num w:numId="9">
    <w:abstractNumId w:val="0"/>
  </w:num>
  <w:num w:numId="10">
    <w:abstractNumId w:val="10"/>
  </w:num>
  <w:num w:numId="11">
    <w:abstractNumId w:val="12"/>
  </w:num>
  <w:num w:numId="12">
    <w:abstractNumId w:val="2"/>
  </w:num>
  <w:num w:numId="13">
    <w:abstractNumId w:val="13"/>
  </w:num>
  <w:num w:numId="14">
    <w:abstractNumId w:val="4"/>
  </w:num>
  <w:num w:numId="15">
    <w:abstractNumId w:val="11"/>
  </w:num>
  <w:num w:numId="16">
    <w:abstractNumId w:val="6"/>
  </w:num>
  <w:num w:numId="17">
    <w:abstractNumId w:val="3"/>
  </w:num>
  <w:num w:numId="18">
    <w:abstractNumId w:val="16"/>
  </w:num>
  <w:num w:numId="19">
    <w:abstractNumId w:val="20"/>
  </w:num>
  <w:num w:numId="20">
    <w:abstractNumId w:val="21"/>
  </w:num>
  <w:num w:numId="21">
    <w:abstractNumId w:val="17"/>
  </w:num>
  <w:num w:numId="22">
    <w:abstractNumId w:val="18"/>
  </w:num>
  <w:num w:numId="23">
    <w:abstractNumId w:val="26"/>
  </w:num>
  <w:num w:numId="24">
    <w:abstractNumId w:val="19"/>
  </w:num>
  <w:num w:numId="25">
    <w:abstractNumId w:val="15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 w:cryptProviderType="rsaAES" w:cryptAlgorithmClass="hash" w:cryptAlgorithmType="typeAny" w:cryptAlgorithmSid="14" w:cryptSpinCount="100000" w:hash="IG5PA9C25yniBiFH1wK+SYYRtvvdLB0w09CzEl58zXT9e/g9jG+mmSoqz2xUKvr4JoELEFCWNYMYR0J9cTCX/g==" w:salt="vytBufiX82xGZA9EpZp5p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9B"/>
    <w:rsid w:val="00015ADE"/>
    <w:rsid w:val="00043A8C"/>
    <w:rsid w:val="00085111"/>
    <w:rsid w:val="00092F58"/>
    <w:rsid w:val="000B0553"/>
    <w:rsid w:val="000D196A"/>
    <w:rsid w:val="000D54F0"/>
    <w:rsid w:val="000E6A1A"/>
    <w:rsid w:val="00105FFE"/>
    <w:rsid w:val="0012422C"/>
    <w:rsid w:val="00181DA0"/>
    <w:rsid w:val="001B0891"/>
    <w:rsid w:val="00237401"/>
    <w:rsid w:val="002C067C"/>
    <w:rsid w:val="002D4695"/>
    <w:rsid w:val="002E6395"/>
    <w:rsid w:val="00373F2E"/>
    <w:rsid w:val="00374103"/>
    <w:rsid w:val="004749EC"/>
    <w:rsid w:val="00480D0F"/>
    <w:rsid w:val="00490CEB"/>
    <w:rsid w:val="004A5720"/>
    <w:rsid w:val="004F2BA2"/>
    <w:rsid w:val="005D294D"/>
    <w:rsid w:val="005F052D"/>
    <w:rsid w:val="0060006D"/>
    <w:rsid w:val="00682F35"/>
    <w:rsid w:val="006D2F30"/>
    <w:rsid w:val="006D7C8A"/>
    <w:rsid w:val="006E7F56"/>
    <w:rsid w:val="0070487B"/>
    <w:rsid w:val="00705897"/>
    <w:rsid w:val="0071248A"/>
    <w:rsid w:val="00766616"/>
    <w:rsid w:val="00772434"/>
    <w:rsid w:val="007C1E8F"/>
    <w:rsid w:val="007E0CA8"/>
    <w:rsid w:val="007F2181"/>
    <w:rsid w:val="00844E30"/>
    <w:rsid w:val="008511D9"/>
    <w:rsid w:val="00877BB1"/>
    <w:rsid w:val="008A79D1"/>
    <w:rsid w:val="008B539B"/>
    <w:rsid w:val="00914BD2"/>
    <w:rsid w:val="0095206F"/>
    <w:rsid w:val="009604B5"/>
    <w:rsid w:val="009C5D0C"/>
    <w:rsid w:val="00A2445F"/>
    <w:rsid w:val="00AD3277"/>
    <w:rsid w:val="00AE3915"/>
    <w:rsid w:val="00B16EA1"/>
    <w:rsid w:val="00B45AF2"/>
    <w:rsid w:val="00B66023"/>
    <w:rsid w:val="00BC64BC"/>
    <w:rsid w:val="00BD576F"/>
    <w:rsid w:val="00CD42E3"/>
    <w:rsid w:val="00D334CE"/>
    <w:rsid w:val="00D346E2"/>
    <w:rsid w:val="00D84CB6"/>
    <w:rsid w:val="00D91279"/>
    <w:rsid w:val="00DD35DE"/>
    <w:rsid w:val="00DF2AB6"/>
    <w:rsid w:val="00E041DE"/>
    <w:rsid w:val="00E263D4"/>
    <w:rsid w:val="00E4748C"/>
    <w:rsid w:val="00EA5CDE"/>
    <w:rsid w:val="00EC6DBB"/>
    <w:rsid w:val="00ED1ED3"/>
    <w:rsid w:val="00ED2602"/>
    <w:rsid w:val="00F066D4"/>
    <w:rsid w:val="00F31CD4"/>
    <w:rsid w:val="00F9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AB1B77"/>
  <w15:chartTrackingRefBased/>
  <w15:docId w15:val="{876037C6-16DE-4A93-BB80-3E11EF4B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BB1"/>
    <w:rPr>
      <w:rFonts w:ascii="Arial" w:hAnsi="Arial" w:cs="Arial"/>
      <w:noProof/>
      <w:sz w:val="24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6E2"/>
    <w:pPr>
      <w:outlineLvl w:val="0"/>
    </w:pPr>
    <w:rPr>
      <w:b/>
      <w:color w:val="00ADD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6E2"/>
    <w:pPr>
      <w:outlineLvl w:val="1"/>
    </w:pPr>
    <w:rPr>
      <w:b/>
      <w:color w:val="00ADD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05897"/>
    <w:pPr>
      <w:outlineLvl w:val="2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9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B5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9B"/>
    <w:rPr>
      <w:noProof/>
    </w:rPr>
  </w:style>
  <w:style w:type="character" w:styleId="PlaceholderText">
    <w:name w:val="Placeholder Text"/>
    <w:basedOn w:val="DefaultParagraphFont"/>
    <w:uiPriority w:val="99"/>
    <w:semiHidden/>
    <w:rsid w:val="008B539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A5CDE"/>
    <w:rPr>
      <w:rFonts w:ascii="Proxima Nova Semibold" w:hAnsi="Proxima Nova Semibold"/>
      <w:b/>
      <w:color w:val="00B8D6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A5CDE"/>
    <w:rPr>
      <w:rFonts w:ascii="Proxima Nova Semibold" w:hAnsi="Proxima Nova Semibold"/>
      <w:b/>
      <w:noProof/>
      <w:color w:val="00B8D6"/>
      <w:sz w:val="56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D346E2"/>
    <w:rPr>
      <w:rFonts w:ascii="Arial" w:hAnsi="Arial" w:cs="Arial"/>
      <w:b/>
      <w:noProof/>
      <w:color w:val="00ADD0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346E2"/>
    <w:rPr>
      <w:rFonts w:ascii="Arial" w:hAnsi="Arial" w:cs="Arial"/>
      <w:b/>
      <w:noProof/>
      <w:color w:val="00ADD0"/>
      <w:sz w:val="24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CD42E3"/>
    <w:rPr>
      <w:color w:val="0563C1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CD42E3"/>
    <w:pPr>
      <w:spacing w:after="100"/>
    </w:pPr>
  </w:style>
  <w:style w:type="paragraph" w:styleId="TOC2">
    <w:name w:val="toc 2"/>
    <w:basedOn w:val="Heading2"/>
    <w:next w:val="Normal"/>
    <w:autoRedefine/>
    <w:uiPriority w:val="39"/>
    <w:unhideWhenUsed/>
    <w:rsid w:val="00CD42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42E3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CD42E3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4472C4" w:themeColor="accent1"/>
      <w:sz w:val="32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EA5CDE"/>
    <w:rPr>
      <w:b/>
      <w:color w:val="000000" w:themeColor="text1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EA5CDE"/>
    <w:rPr>
      <w:rFonts w:ascii="Meta Correspondence Pro" w:hAnsi="Meta Correspondence Pro" w:cs="Meta Correspondence Pro"/>
      <w:b/>
      <w:noProof/>
      <w:color w:val="000000" w:themeColor="text1"/>
      <w:sz w:val="24"/>
      <w:szCs w:val="72"/>
    </w:rPr>
  </w:style>
  <w:style w:type="table" w:styleId="TableGrid">
    <w:name w:val="Table Grid"/>
    <w:basedOn w:val="TableNormal"/>
    <w:rsid w:val="0070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897"/>
    <w:pPr>
      <w:ind w:left="720"/>
      <w:contextualSpacing/>
    </w:pPr>
    <w:rPr>
      <w:rFonts w:asciiTheme="minorHAnsi" w:hAnsiTheme="minorHAnsi" w:cstheme="minorBidi"/>
      <w:noProof w:val="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05897"/>
    <w:rPr>
      <w:rFonts w:ascii="Arial" w:hAnsi="Arial" w:cs="Arial"/>
      <w:b/>
      <w:noProof/>
      <w:color w:val="000000" w:themeColor="text1"/>
      <w:szCs w:val="24"/>
      <w:lang w:val="en-US"/>
    </w:rPr>
  </w:style>
  <w:style w:type="paragraph" w:styleId="FootnoteText">
    <w:name w:val="footnote text"/>
    <w:basedOn w:val="Normal"/>
    <w:link w:val="FootnoteTextChar"/>
    <w:rsid w:val="00105FFE"/>
    <w:pPr>
      <w:spacing w:after="0" w:line="240" w:lineRule="auto"/>
    </w:pPr>
    <w:rPr>
      <w:rFonts w:eastAsia="Times New Roman"/>
      <w:noProof w:val="0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105FFE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rsid w:val="00105FFE"/>
    <w:rPr>
      <w:vertAlign w:val="superscript"/>
    </w:rPr>
  </w:style>
  <w:style w:type="paragraph" w:customStyle="1" w:styleId="Default">
    <w:name w:val="Default"/>
    <w:rsid w:val="00844E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8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A2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B2FB7-DD38-4A1A-9306-DF2ED1E5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812</Words>
  <Characters>4634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Doan</dc:creator>
  <cp:keywords/>
  <dc:description/>
  <cp:lastModifiedBy>Kaine Barton</cp:lastModifiedBy>
  <cp:revision>6</cp:revision>
  <cp:lastPrinted>2020-05-13T02:57:00Z</cp:lastPrinted>
  <dcterms:created xsi:type="dcterms:W3CDTF">2020-11-11T03:56:00Z</dcterms:created>
  <dcterms:modified xsi:type="dcterms:W3CDTF">2020-11-16T03:15:00Z</dcterms:modified>
</cp:coreProperties>
</file>